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5871A" w14:textId="4B865F51" w:rsidR="00656898" w:rsidRPr="007E7FF3" w:rsidRDefault="00A20138" w:rsidP="00656898">
      <w:pPr>
        <w:rPr>
          <w:rFonts w:eastAsia="Times New Roman" w:cs="Calibri"/>
          <w:color w:val="000000" w:themeColor="text1"/>
          <w:szCs w:val="22"/>
        </w:rPr>
      </w:pPr>
      <w:r w:rsidRPr="007E7FF3">
        <w:rPr>
          <w:rFonts w:eastAsia="Times New Roman" w:cs="Calibri"/>
          <w:color w:val="000000" w:themeColor="text1"/>
          <w:szCs w:val="22"/>
        </w:rPr>
        <w:t xml:space="preserve">August </w:t>
      </w:r>
      <w:r w:rsidRPr="007E7FF3">
        <w:rPr>
          <w:rFonts w:eastAsia="Times New Roman" w:cs="Calibri"/>
          <w:color w:val="000000" w:themeColor="text1"/>
          <w:szCs w:val="22"/>
          <w:highlight w:val="yellow"/>
        </w:rPr>
        <w:t>XX</w:t>
      </w:r>
      <w:r w:rsidR="00D30D9A" w:rsidRPr="007E7FF3">
        <w:rPr>
          <w:rFonts w:eastAsia="Times New Roman" w:cs="Calibri"/>
          <w:color w:val="000000" w:themeColor="text1"/>
          <w:szCs w:val="22"/>
        </w:rPr>
        <w:t>, 2021</w:t>
      </w:r>
    </w:p>
    <w:p w14:paraId="121F079F" w14:textId="77777777" w:rsidR="00D30D9A" w:rsidRPr="007E7FF3" w:rsidRDefault="00D30D9A" w:rsidP="00656898">
      <w:pPr>
        <w:contextualSpacing/>
        <w:rPr>
          <w:rFonts w:cs="Segoe UI"/>
          <w:color w:val="000000" w:themeColor="text1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7E7FF3" w:rsidRPr="007E7FF3" w14:paraId="6AB8C89B" w14:textId="77777777" w:rsidTr="00AD3CF4">
        <w:trPr>
          <w:trHeight w:val="1620"/>
        </w:trPr>
        <w:tc>
          <w:tcPr>
            <w:tcW w:w="4963" w:type="dxa"/>
          </w:tcPr>
          <w:p w14:paraId="5A625213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 xml:space="preserve">The Honorable Xavier Becerra </w:t>
            </w:r>
          </w:p>
          <w:p w14:paraId="08F389A2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 xml:space="preserve">Secretary of Health and Human Services </w:t>
            </w:r>
          </w:p>
          <w:p w14:paraId="01F3C075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 xml:space="preserve">U.S. Department of Health and Human Services                                                                                                                      200 Independence Avenue, S.W. </w:t>
            </w:r>
          </w:p>
          <w:p w14:paraId="5B434BEB" w14:textId="7F2AE93E" w:rsidR="008F0562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Washington, DC 20201</w:t>
            </w:r>
          </w:p>
        </w:tc>
        <w:tc>
          <w:tcPr>
            <w:tcW w:w="4963" w:type="dxa"/>
          </w:tcPr>
          <w:p w14:paraId="7C177300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The Honorable Chiquita Brooks-LaSure</w:t>
            </w:r>
          </w:p>
          <w:p w14:paraId="2AA3D212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Administrator</w:t>
            </w:r>
          </w:p>
          <w:p w14:paraId="69BEB4CF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Centers for Medicare &amp; Medicaid Services</w:t>
            </w:r>
          </w:p>
          <w:p w14:paraId="542B52D9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200 Independence Avenue, S.W., Room 445-G</w:t>
            </w:r>
          </w:p>
          <w:p w14:paraId="3FC459E0" w14:textId="1F51E138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Washington, DC 20201</w:t>
            </w:r>
          </w:p>
        </w:tc>
      </w:tr>
      <w:tr w:rsidR="00232798" w:rsidRPr="007E7FF3" w14:paraId="34AC0B63" w14:textId="77777777" w:rsidTr="00BE2285">
        <w:tc>
          <w:tcPr>
            <w:tcW w:w="4963" w:type="dxa"/>
          </w:tcPr>
          <w:p w14:paraId="40626DDA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Daniel Tsai</w:t>
            </w:r>
          </w:p>
          <w:p w14:paraId="1B1D26CE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Deputy Administrator and Director of the Center for Medicaid and CHIP Services                                                                   Centers for Medicare &amp; Medicaid Services</w:t>
            </w:r>
          </w:p>
          <w:p w14:paraId="486661CF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Department of Health and Human Services</w:t>
            </w:r>
          </w:p>
          <w:p w14:paraId="1AC32C27" w14:textId="77777777" w:rsidR="00AD3CF4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7500 Security Boulevard</w:t>
            </w:r>
          </w:p>
          <w:p w14:paraId="4DF4C12B" w14:textId="4C818180" w:rsidR="00BE2285" w:rsidRPr="007E7FF3" w:rsidRDefault="00AD3CF4" w:rsidP="00AD3CF4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  <w:r w:rsidRPr="007E7FF3">
              <w:rPr>
                <w:rFonts w:cs="Segoe UI"/>
                <w:color w:val="000000" w:themeColor="text1"/>
                <w:szCs w:val="22"/>
              </w:rPr>
              <w:t>Baltimore, MD 21244</w:t>
            </w:r>
          </w:p>
        </w:tc>
        <w:tc>
          <w:tcPr>
            <w:tcW w:w="4963" w:type="dxa"/>
          </w:tcPr>
          <w:p w14:paraId="41A366D0" w14:textId="77777777" w:rsidR="00232798" w:rsidRPr="007E7FF3" w:rsidRDefault="00232798" w:rsidP="00656898">
            <w:pPr>
              <w:contextualSpacing/>
              <w:rPr>
                <w:rFonts w:cs="Segoe UI"/>
                <w:color w:val="000000" w:themeColor="text1"/>
                <w:szCs w:val="22"/>
              </w:rPr>
            </w:pPr>
          </w:p>
        </w:tc>
      </w:tr>
    </w:tbl>
    <w:p w14:paraId="656B25F6" w14:textId="01956345" w:rsidR="00C54A06" w:rsidRPr="007E7FF3" w:rsidRDefault="00C54A06" w:rsidP="00656898">
      <w:pPr>
        <w:contextualSpacing/>
        <w:rPr>
          <w:rFonts w:cs="Segoe UI"/>
          <w:color w:val="000000" w:themeColor="text1"/>
          <w:szCs w:val="22"/>
        </w:rPr>
      </w:pPr>
    </w:p>
    <w:p w14:paraId="5B0E01C4" w14:textId="77777777" w:rsidR="00A20138" w:rsidRPr="007E7FF3" w:rsidRDefault="00A20138" w:rsidP="00656898">
      <w:pPr>
        <w:contextualSpacing/>
        <w:rPr>
          <w:color w:val="000000" w:themeColor="text1"/>
          <w:szCs w:val="22"/>
        </w:rPr>
      </w:pPr>
    </w:p>
    <w:p w14:paraId="1C20C0C6" w14:textId="47B3EF4C" w:rsidR="00656898" w:rsidRPr="007E7FF3" w:rsidRDefault="00656898" w:rsidP="00656898">
      <w:pPr>
        <w:contextualSpacing/>
        <w:rPr>
          <w:color w:val="000000" w:themeColor="text1"/>
          <w:szCs w:val="22"/>
        </w:rPr>
      </w:pPr>
      <w:r w:rsidRPr="007E7FF3">
        <w:rPr>
          <w:color w:val="000000" w:themeColor="text1"/>
          <w:szCs w:val="22"/>
        </w:rPr>
        <w:t xml:space="preserve">Dear </w:t>
      </w:r>
      <w:r w:rsidR="00E22B4A" w:rsidRPr="007E7FF3">
        <w:rPr>
          <w:color w:val="000000" w:themeColor="text1"/>
          <w:szCs w:val="22"/>
        </w:rPr>
        <w:t>Secretary Becerra, Administrator Brooks-LaSure, and Deputy Administrator Tsai:</w:t>
      </w:r>
    </w:p>
    <w:p w14:paraId="2F903C54" w14:textId="77777777" w:rsidR="00656898" w:rsidRPr="007E7FF3" w:rsidRDefault="00656898" w:rsidP="00656898">
      <w:pPr>
        <w:rPr>
          <w:color w:val="000000" w:themeColor="text1"/>
          <w:szCs w:val="22"/>
        </w:rPr>
      </w:pPr>
    </w:p>
    <w:p w14:paraId="4E71C6B9" w14:textId="45F90C3A" w:rsidR="00C30174" w:rsidRPr="007E7FF3" w:rsidRDefault="00053B0D" w:rsidP="00656898">
      <w:pPr>
        <w:rPr>
          <w:color w:val="000000" w:themeColor="text1"/>
          <w:szCs w:val="22"/>
        </w:rPr>
      </w:pPr>
      <w:r w:rsidRPr="007E7FF3">
        <w:rPr>
          <w:color w:val="000000" w:themeColor="text1"/>
          <w:szCs w:val="22"/>
        </w:rPr>
        <w:t>On</w:t>
      </w:r>
      <w:r w:rsidR="006B130F" w:rsidRPr="007E7FF3">
        <w:rPr>
          <w:color w:val="000000" w:themeColor="text1"/>
          <w:szCs w:val="22"/>
        </w:rPr>
        <w:t xml:space="preserve"> behalf</w:t>
      </w:r>
      <w:r w:rsidRPr="007E7FF3">
        <w:rPr>
          <w:color w:val="000000" w:themeColor="text1"/>
          <w:szCs w:val="22"/>
        </w:rPr>
        <w:t xml:space="preserve"> </w:t>
      </w:r>
      <w:r w:rsidR="00C92D08" w:rsidRPr="007E7FF3">
        <w:rPr>
          <w:color w:val="000000" w:themeColor="text1"/>
          <w:szCs w:val="22"/>
        </w:rPr>
        <w:t xml:space="preserve">of </w:t>
      </w:r>
      <w:r w:rsidR="00C92D08" w:rsidRPr="007E7FF3">
        <w:rPr>
          <w:color w:val="000000" w:themeColor="text1"/>
          <w:szCs w:val="22"/>
          <w:highlight w:val="yellow"/>
        </w:rPr>
        <w:t>[hospital/health system name]</w:t>
      </w:r>
      <w:r w:rsidR="00C92D08" w:rsidRPr="007E7FF3">
        <w:rPr>
          <w:color w:val="000000" w:themeColor="text1"/>
          <w:szCs w:val="22"/>
        </w:rPr>
        <w:t xml:space="preserve"> and the patients </w:t>
      </w:r>
      <w:r w:rsidR="006B130F" w:rsidRPr="007E7FF3">
        <w:rPr>
          <w:color w:val="000000" w:themeColor="text1"/>
          <w:szCs w:val="22"/>
        </w:rPr>
        <w:t>we</w:t>
      </w:r>
      <w:r w:rsidR="00C92D08" w:rsidRPr="007E7FF3">
        <w:rPr>
          <w:color w:val="000000" w:themeColor="text1"/>
          <w:szCs w:val="22"/>
        </w:rPr>
        <w:t xml:space="preserve"> serve, </w:t>
      </w:r>
      <w:r w:rsidR="00DA3122" w:rsidRPr="007E7FF3">
        <w:rPr>
          <w:color w:val="000000" w:themeColor="text1"/>
          <w:szCs w:val="22"/>
        </w:rPr>
        <w:t xml:space="preserve">we write to request your </w:t>
      </w:r>
      <w:r w:rsidR="00AA2587" w:rsidRPr="007E7FF3">
        <w:rPr>
          <w:color w:val="000000" w:themeColor="text1"/>
          <w:szCs w:val="22"/>
        </w:rPr>
        <w:t xml:space="preserve">approval </w:t>
      </w:r>
      <w:r w:rsidR="00DA3122" w:rsidRPr="007E7FF3">
        <w:rPr>
          <w:color w:val="000000" w:themeColor="text1"/>
          <w:szCs w:val="22"/>
        </w:rPr>
        <w:t xml:space="preserve">of Texas’ </w:t>
      </w:r>
      <w:r w:rsidR="007B4DAE" w:rsidRPr="007E7FF3">
        <w:rPr>
          <w:color w:val="000000" w:themeColor="text1"/>
          <w:szCs w:val="22"/>
        </w:rPr>
        <w:t>application</w:t>
      </w:r>
      <w:r w:rsidR="00DA3122" w:rsidRPr="007E7FF3">
        <w:rPr>
          <w:color w:val="000000" w:themeColor="text1"/>
          <w:szCs w:val="22"/>
        </w:rPr>
        <w:t xml:space="preserve"> to extend the Texas Healthcare Transformation and Quality Improvement Program</w:t>
      </w:r>
      <w:r w:rsidR="00561CC2" w:rsidRPr="007E7FF3">
        <w:rPr>
          <w:color w:val="000000" w:themeColor="text1"/>
          <w:szCs w:val="22"/>
        </w:rPr>
        <w:t xml:space="preserve"> 1115 Demonstration Waiver</w:t>
      </w:r>
      <w:r w:rsidR="007B4DAE" w:rsidRPr="007E7FF3">
        <w:rPr>
          <w:color w:val="000000" w:themeColor="text1"/>
          <w:szCs w:val="22"/>
        </w:rPr>
        <w:t xml:space="preserve"> for 10 years and under the same terms and conditions as the Centers for Medicare </w:t>
      </w:r>
      <w:r w:rsidR="008A1151">
        <w:rPr>
          <w:color w:val="000000" w:themeColor="text1"/>
          <w:szCs w:val="22"/>
        </w:rPr>
        <w:t>&amp;</w:t>
      </w:r>
      <w:r w:rsidR="007B4DAE" w:rsidRPr="007E7FF3">
        <w:rPr>
          <w:color w:val="000000" w:themeColor="text1"/>
          <w:szCs w:val="22"/>
        </w:rPr>
        <w:t xml:space="preserve"> Medicaid Services approved in January 2021</w:t>
      </w:r>
      <w:r w:rsidR="003A3858" w:rsidRPr="007E7FF3">
        <w:rPr>
          <w:color w:val="000000" w:themeColor="text1"/>
          <w:szCs w:val="22"/>
        </w:rPr>
        <w:t>.</w:t>
      </w:r>
      <w:r w:rsidR="00561CC2" w:rsidRPr="007E7FF3">
        <w:rPr>
          <w:color w:val="000000" w:themeColor="text1"/>
          <w:szCs w:val="22"/>
        </w:rPr>
        <w:t xml:space="preserve"> We thank </w:t>
      </w:r>
      <w:r w:rsidR="00AA2587" w:rsidRPr="007E7FF3">
        <w:rPr>
          <w:color w:val="000000" w:themeColor="text1"/>
          <w:szCs w:val="22"/>
        </w:rPr>
        <w:t>our federal partners for ongoing collaboration</w:t>
      </w:r>
      <w:r w:rsidR="00561CC2" w:rsidRPr="007E7FF3">
        <w:rPr>
          <w:color w:val="000000" w:themeColor="text1"/>
          <w:szCs w:val="22"/>
        </w:rPr>
        <w:t xml:space="preserve"> to </w:t>
      </w:r>
      <w:r w:rsidR="00D55047" w:rsidRPr="007E7FF3">
        <w:rPr>
          <w:color w:val="000000" w:themeColor="text1"/>
          <w:szCs w:val="22"/>
        </w:rPr>
        <w:t xml:space="preserve">sustain </w:t>
      </w:r>
      <w:r w:rsidR="00AA2587" w:rsidRPr="007E7FF3">
        <w:rPr>
          <w:color w:val="000000" w:themeColor="text1"/>
          <w:szCs w:val="22"/>
        </w:rPr>
        <w:t>the state’s</w:t>
      </w:r>
      <w:r w:rsidR="00D55047" w:rsidRPr="007E7FF3">
        <w:rPr>
          <w:color w:val="000000" w:themeColor="text1"/>
          <w:szCs w:val="22"/>
        </w:rPr>
        <w:t xml:space="preserve"> successful demonstration</w:t>
      </w:r>
      <w:r w:rsidR="00AA2587" w:rsidRPr="007E7FF3">
        <w:rPr>
          <w:color w:val="000000" w:themeColor="text1"/>
          <w:szCs w:val="22"/>
        </w:rPr>
        <w:t xml:space="preserve"> and ensure Texas’ Medicaid program remains strong.</w:t>
      </w:r>
    </w:p>
    <w:p w14:paraId="510EE4C9" w14:textId="77777777" w:rsidR="00C30174" w:rsidRPr="007E7FF3" w:rsidRDefault="00C30174" w:rsidP="00656898">
      <w:pPr>
        <w:rPr>
          <w:color w:val="000000" w:themeColor="text1"/>
          <w:szCs w:val="22"/>
        </w:rPr>
      </w:pPr>
    </w:p>
    <w:p w14:paraId="766E374E" w14:textId="40BB092E" w:rsidR="00FA1C70" w:rsidRDefault="00480376" w:rsidP="00656898">
      <w:pPr>
        <w:rPr>
          <w:color w:val="000000" w:themeColor="text1"/>
          <w:szCs w:val="22"/>
        </w:rPr>
      </w:pPr>
      <w:r w:rsidRPr="007E7FF3">
        <w:rPr>
          <w:color w:val="000000" w:themeColor="text1"/>
          <w:szCs w:val="22"/>
        </w:rPr>
        <w:t xml:space="preserve">The waiver is </w:t>
      </w:r>
      <w:r w:rsidR="000F1E86" w:rsidRPr="007E7FF3">
        <w:rPr>
          <w:color w:val="000000" w:themeColor="text1"/>
          <w:szCs w:val="22"/>
        </w:rPr>
        <w:t>a fundamental element of</w:t>
      </w:r>
      <w:r w:rsidRPr="007E7FF3">
        <w:rPr>
          <w:color w:val="000000" w:themeColor="text1"/>
          <w:szCs w:val="22"/>
        </w:rPr>
        <w:t xml:space="preserve"> Texas’ health care infrastructure. </w:t>
      </w:r>
      <w:r w:rsidR="000F1E86" w:rsidRPr="007E7FF3">
        <w:rPr>
          <w:color w:val="000000" w:themeColor="text1"/>
          <w:szCs w:val="22"/>
        </w:rPr>
        <w:t>For the past 1</w:t>
      </w:r>
      <w:r w:rsidR="00C30174" w:rsidRPr="007E7FF3">
        <w:rPr>
          <w:color w:val="000000" w:themeColor="text1"/>
          <w:szCs w:val="22"/>
        </w:rPr>
        <w:t>8</w:t>
      </w:r>
      <w:r w:rsidR="000F1E86" w:rsidRPr="007E7FF3">
        <w:rPr>
          <w:color w:val="000000" w:themeColor="text1"/>
          <w:szCs w:val="22"/>
        </w:rPr>
        <w:t xml:space="preserve"> months, we have </w:t>
      </w:r>
      <w:r w:rsidR="001870D4" w:rsidRPr="007E7FF3">
        <w:rPr>
          <w:color w:val="000000" w:themeColor="text1"/>
          <w:szCs w:val="22"/>
        </w:rPr>
        <w:t>fought the COVID-19 pandemic—diagnosing, triaging, treating</w:t>
      </w:r>
      <w:r w:rsidR="00885787" w:rsidRPr="007E7FF3">
        <w:rPr>
          <w:color w:val="000000" w:themeColor="text1"/>
          <w:szCs w:val="22"/>
        </w:rPr>
        <w:t xml:space="preserve"> and vaccinating our community</w:t>
      </w:r>
      <w:r w:rsidR="00D05C58" w:rsidRPr="007E7FF3">
        <w:rPr>
          <w:color w:val="000000" w:themeColor="text1"/>
          <w:szCs w:val="22"/>
        </w:rPr>
        <w:t xml:space="preserve">. </w:t>
      </w:r>
      <w:r w:rsidR="00BF29DE" w:rsidRPr="007E7FF3">
        <w:rPr>
          <w:color w:val="000000" w:themeColor="text1"/>
          <w:szCs w:val="22"/>
        </w:rPr>
        <w:t>While we suffered devastating losses,</w:t>
      </w:r>
      <w:r w:rsidR="00643A0F" w:rsidRPr="007E7FF3">
        <w:rPr>
          <w:color w:val="000000" w:themeColor="text1"/>
          <w:szCs w:val="22"/>
        </w:rPr>
        <w:t xml:space="preserve"> we </w:t>
      </w:r>
      <w:r w:rsidR="00DE031C" w:rsidRPr="007E7FF3">
        <w:rPr>
          <w:color w:val="000000" w:themeColor="text1"/>
          <w:szCs w:val="22"/>
        </w:rPr>
        <w:t xml:space="preserve">also </w:t>
      </w:r>
      <w:r w:rsidR="00850FEF" w:rsidRPr="007E7FF3">
        <w:rPr>
          <w:color w:val="000000" w:themeColor="text1"/>
          <w:szCs w:val="22"/>
        </w:rPr>
        <w:t xml:space="preserve">have </w:t>
      </w:r>
      <w:r w:rsidR="00C41CC8" w:rsidRPr="007E7FF3">
        <w:rPr>
          <w:color w:val="000000" w:themeColor="text1"/>
          <w:szCs w:val="22"/>
        </w:rPr>
        <w:t>successfully</w:t>
      </w:r>
      <w:r w:rsidR="0005724F" w:rsidRPr="007E7FF3">
        <w:rPr>
          <w:color w:val="000000" w:themeColor="text1"/>
          <w:szCs w:val="22"/>
        </w:rPr>
        <w:t xml:space="preserve"> heal</w:t>
      </w:r>
      <w:r w:rsidR="00C41CC8" w:rsidRPr="007E7FF3">
        <w:rPr>
          <w:color w:val="000000" w:themeColor="text1"/>
          <w:szCs w:val="22"/>
        </w:rPr>
        <w:t>ed</w:t>
      </w:r>
      <w:r w:rsidR="0005724F" w:rsidRPr="007E7FF3">
        <w:rPr>
          <w:color w:val="000000" w:themeColor="text1"/>
          <w:szCs w:val="22"/>
        </w:rPr>
        <w:t xml:space="preserve"> </w:t>
      </w:r>
      <w:r w:rsidR="00850FEF" w:rsidRPr="007E7FF3">
        <w:rPr>
          <w:color w:val="000000" w:themeColor="text1"/>
          <w:szCs w:val="22"/>
        </w:rPr>
        <w:t xml:space="preserve">the sick </w:t>
      </w:r>
      <w:r w:rsidR="00DE031C" w:rsidRPr="007E7FF3">
        <w:rPr>
          <w:color w:val="000000" w:themeColor="text1"/>
          <w:szCs w:val="22"/>
        </w:rPr>
        <w:t xml:space="preserve">and </w:t>
      </w:r>
      <w:r w:rsidR="00643A0F" w:rsidRPr="007E7FF3">
        <w:rPr>
          <w:color w:val="000000" w:themeColor="text1"/>
          <w:szCs w:val="22"/>
        </w:rPr>
        <w:t>sav</w:t>
      </w:r>
      <w:r w:rsidR="00C41CC8" w:rsidRPr="007E7FF3">
        <w:rPr>
          <w:color w:val="000000" w:themeColor="text1"/>
          <w:szCs w:val="22"/>
        </w:rPr>
        <w:t>ed countless</w:t>
      </w:r>
      <w:r w:rsidR="0005724F" w:rsidRPr="007E7FF3">
        <w:rPr>
          <w:color w:val="000000" w:themeColor="text1"/>
          <w:szCs w:val="22"/>
        </w:rPr>
        <w:t xml:space="preserve"> </w:t>
      </w:r>
      <w:r w:rsidR="00F31EC6" w:rsidRPr="007E7FF3">
        <w:rPr>
          <w:color w:val="000000" w:themeColor="text1"/>
          <w:szCs w:val="22"/>
        </w:rPr>
        <w:t>lives</w:t>
      </w:r>
      <w:r w:rsidR="00DE031C" w:rsidRPr="007E7FF3">
        <w:rPr>
          <w:color w:val="000000" w:themeColor="text1"/>
          <w:szCs w:val="22"/>
        </w:rPr>
        <w:t xml:space="preserve">. </w:t>
      </w:r>
      <w:r w:rsidR="00CF3613" w:rsidRPr="007E7FF3">
        <w:rPr>
          <w:color w:val="000000" w:themeColor="text1"/>
          <w:szCs w:val="22"/>
        </w:rPr>
        <w:t>We cannot underestimate the role of a strong health care infrastructure both in times of crisis and for a healthy, thriving population.</w:t>
      </w:r>
      <w:r w:rsidR="00850FEF" w:rsidRPr="007E7FF3">
        <w:rPr>
          <w:color w:val="000000" w:themeColor="text1"/>
          <w:szCs w:val="22"/>
        </w:rPr>
        <w:t xml:space="preserve"> </w:t>
      </w:r>
      <w:r w:rsidR="00791A85" w:rsidRPr="007E7FF3">
        <w:rPr>
          <w:color w:val="000000" w:themeColor="text1"/>
          <w:szCs w:val="22"/>
        </w:rPr>
        <w:t>We encourage the federal government</w:t>
      </w:r>
      <w:r w:rsidR="0005724F" w:rsidRPr="007E7FF3">
        <w:rPr>
          <w:color w:val="000000" w:themeColor="text1"/>
          <w:szCs w:val="22"/>
        </w:rPr>
        <w:t xml:space="preserve"> </w:t>
      </w:r>
      <w:r w:rsidR="00394217" w:rsidRPr="007E7FF3">
        <w:rPr>
          <w:color w:val="000000" w:themeColor="text1"/>
          <w:szCs w:val="22"/>
        </w:rPr>
        <w:t>to</w:t>
      </w:r>
      <w:r w:rsidR="00791A85" w:rsidRPr="007E7FF3">
        <w:rPr>
          <w:color w:val="000000" w:themeColor="text1"/>
          <w:szCs w:val="22"/>
        </w:rPr>
        <w:t xml:space="preserve"> work with Texas to</w:t>
      </w:r>
      <w:r w:rsidR="00394217" w:rsidRPr="007E7FF3">
        <w:rPr>
          <w:color w:val="000000" w:themeColor="text1"/>
          <w:szCs w:val="22"/>
        </w:rPr>
        <w:t xml:space="preserve"> </w:t>
      </w:r>
      <w:r w:rsidR="00CD4492" w:rsidRPr="007E7FF3">
        <w:rPr>
          <w:color w:val="000000" w:themeColor="text1"/>
          <w:szCs w:val="22"/>
        </w:rPr>
        <w:t>continue</w:t>
      </w:r>
      <w:r w:rsidR="00394217" w:rsidRPr="007E7FF3">
        <w:rPr>
          <w:color w:val="000000" w:themeColor="text1"/>
          <w:szCs w:val="22"/>
        </w:rPr>
        <w:t xml:space="preserve"> </w:t>
      </w:r>
      <w:r w:rsidR="007202A4" w:rsidRPr="007E7FF3">
        <w:rPr>
          <w:color w:val="000000" w:themeColor="text1"/>
          <w:szCs w:val="22"/>
        </w:rPr>
        <w:t xml:space="preserve">policies and funding </w:t>
      </w:r>
      <w:r w:rsidR="0006095F" w:rsidRPr="007E7FF3">
        <w:rPr>
          <w:color w:val="000000" w:themeColor="text1"/>
          <w:szCs w:val="22"/>
        </w:rPr>
        <w:t xml:space="preserve">that will </w:t>
      </w:r>
      <w:r w:rsidR="00CD4492" w:rsidRPr="007E7FF3">
        <w:rPr>
          <w:color w:val="000000" w:themeColor="text1"/>
          <w:szCs w:val="22"/>
        </w:rPr>
        <w:t xml:space="preserve">reinforce </w:t>
      </w:r>
      <w:r w:rsidR="007202A4" w:rsidRPr="007E7FF3">
        <w:rPr>
          <w:color w:val="000000" w:themeColor="text1"/>
          <w:szCs w:val="22"/>
        </w:rPr>
        <w:t xml:space="preserve">the </w:t>
      </w:r>
      <w:r w:rsidR="00072CC2" w:rsidRPr="007E7FF3">
        <w:rPr>
          <w:color w:val="000000" w:themeColor="text1"/>
          <w:szCs w:val="22"/>
        </w:rPr>
        <w:t>state’s health care safety net.</w:t>
      </w:r>
      <w:r w:rsidR="0005724F" w:rsidRPr="007E7FF3">
        <w:rPr>
          <w:color w:val="000000" w:themeColor="text1"/>
          <w:szCs w:val="22"/>
        </w:rPr>
        <w:t xml:space="preserve"> </w:t>
      </w:r>
    </w:p>
    <w:p w14:paraId="625BF2EA" w14:textId="7C82E69A" w:rsidR="00653984" w:rsidRDefault="00653984" w:rsidP="00656898">
      <w:pPr>
        <w:rPr>
          <w:color w:val="000000" w:themeColor="text1"/>
          <w:szCs w:val="22"/>
        </w:rPr>
      </w:pPr>
    </w:p>
    <w:p w14:paraId="44D59BDB" w14:textId="18125D6F" w:rsidR="00653984" w:rsidRPr="007E7FF3" w:rsidRDefault="00CA27CC" w:rsidP="0065689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In </w:t>
      </w:r>
      <w:r w:rsidR="00B12811">
        <w:rPr>
          <w:color w:val="000000" w:themeColor="text1"/>
          <w:szCs w:val="22"/>
        </w:rPr>
        <w:t xml:space="preserve">the last year of the current waiver, </w:t>
      </w:r>
      <w:r>
        <w:rPr>
          <w:color w:val="000000" w:themeColor="text1"/>
          <w:szCs w:val="22"/>
        </w:rPr>
        <w:t>CMS has offered Texas</w:t>
      </w:r>
      <w:r w:rsidR="005A0918">
        <w:rPr>
          <w:color w:val="000000" w:themeColor="text1"/>
          <w:szCs w:val="22"/>
        </w:rPr>
        <w:t xml:space="preserve"> a one-year, $2.49 billion extension of </w:t>
      </w:r>
      <w:r w:rsidR="00BA48A5">
        <w:rPr>
          <w:color w:val="000000" w:themeColor="text1"/>
          <w:szCs w:val="22"/>
        </w:rPr>
        <w:t>the Delivery System Reform Incentive Payment program</w:t>
      </w:r>
      <w:r>
        <w:rPr>
          <w:color w:val="000000" w:themeColor="text1"/>
          <w:szCs w:val="22"/>
        </w:rPr>
        <w:t xml:space="preserve"> </w:t>
      </w:r>
      <w:r w:rsidR="005A0918">
        <w:rPr>
          <w:color w:val="000000" w:themeColor="text1"/>
          <w:szCs w:val="22"/>
        </w:rPr>
        <w:t xml:space="preserve">and </w:t>
      </w:r>
      <w:r>
        <w:rPr>
          <w:color w:val="000000" w:themeColor="text1"/>
          <w:szCs w:val="22"/>
        </w:rPr>
        <w:t>two options to secure approval of state-directed payment programs</w:t>
      </w:r>
      <w:r w:rsidR="00475F76">
        <w:rPr>
          <w:color w:val="000000" w:themeColor="text1"/>
          <w:szCs w:val="22"/>
        </w:rPr>
        <w:t>,</w:t>
      </w:r>
      <w:r>
        <w:rPr>
          <w:color w:val="000000" w:themeColor="text1"/>
          <w:szCs w:val="22"/>
        </w:rPr>
        <w:t xml:space="preserve"> which are </w:t>
      </w:r>
      <w:r w:rsidR="00D77150">
        <w:rPr>
          <w:color w:val="000000" w:themeColor="text1"/>
          <w:szCs w:val="22"/>
        </w:rPr>
        <w:t>key components of the state’s DSRIP transition plan.</w:t>
      </w:r>
      <w:r w:rsidR="003F3F8D">
        <w:rPr>
          <w:color w:val="000000" w:themeColor="text1"/>
          <w:szCs w:val="22"/>
        </w:rPr>
        <w:t xml:space="preserve"> </w:t>
      </w:r>
      <w:r w:rsidR="00783B21">
        <w:rPr>
          <w:color w:val="000000" w:themeColor="text1"/>
          <w:szCs w:val="22"/>
        </w:rPr>
        <w:t>When DSRIP</w:t>
      </w:r>
      <w:r w:rsidR="007872D2">
        <w:rPr>
          <w:color w:val="000000" w:themeColor="text1"/>
          <w:szCs w:val="22"/>
        </w:rPr>
        <w:t xml:space="preserve"> </w:t>
      </w:r>
      <w:r w:rsidR="00783B21">
        <w:rPr>
          <w:color w:val="000000" w:themeColor="text1"/>
          <w:szCs w:val="22"/>
        </w:rPr>
        <w:t>terminates,</w:t>
      </w:r>
      <w:r w:rsidR="00927BFB">
        <w:rPr>
          <w:color w:val="000000" w:themeColor="text1"/>
          <w:szCs w:val="22"/>
        </w:rPr>
        <w:t xml:space="preserve"> a waiver extension </w:t>
      </w:r>
      <w:r w:rsidR="00D57DE3">
        <w:rPr>
          <w:color w:val="000000" w:themeColor="text1"/>
          <w:szCs w:val="22"/>
        </w:rPr>
        <w:t xml:space="preserve">must </w:t>
      </w:r>
      <w:r w:rsidR="001D4C5D">
        <w:rPr>
          <w:color w:val="000000" w:themeColor="text1"/>
          <w:szCs w:val="22"/>
        </w:rPr>
        <w:t>afford</w:t>
      </w:r>
      <w:r w:rsidR="007F5E73">
        <w:rPr>
          <w:color w:val="000000" w:themeColor="text1"/>
          <w:szCs w:val="22"/>
        </w:rPr>
        <w:t xml:space="preserve"> </w:t>
      </w:r>
      <w:r w:rsidR="00A521E8">
        <w:rPr>
          <w:color w:val="000000" w:themeColor="text1"/>
          <w:szCs w:val="22"/>
        </w:rPr>
        <w:t>Texas the budgetary room</w:t>
      </w:r>
      <w:r w:rsidR="007F5E73">
        <w:rPr>
          <w:color w:val="000000" w:themeColor="text1"/>
          <w:szCs w:val="22"/>
        </w:rPr>
        <w:t xml:space="preserve"> to execute its DSRIP transition with minimal disruption to the safety net</w:t>
      </w:r>
      <w:r w:rsidR="00776E11">
        <w:rPr>
          <w:color w:val="000000" w:themeColor="text1"/>
          <w:szCs w:val="22"/>
        </w:rPr>
        <w:t xml:space="preserve">. We hope CMS will </w:t>
      </w:r>
      <w:r w:rsidR="00B156DC">
        <w:rPr>
          <w:color w:val="000000" w:themeColor="text1"/>
          <w:szCs w:val="22"/>
        </w:rPr>
        <w:t>collaborate</w:t>
      </w:r>
      <w:r w:rsidR="00C20815">
        <w:rPr>
          <w:color w:val="000000" w:themeColor="text1"/>
          <w:szCs w:val="22"/>
        </w:rPr>
        <w:t xml:space="preserve"> with Texas to achieve timely approval of DPP</w:t>
      </w:r>
      <w:r w:rsidR="008A1151">
        <w:rPr>
          <w:color w:val="000000" w:themeColor="text1"/>
          <w:szCs w:val="22"/>
        </w:rPr>
        <w:t>s</w:t>
      </w:r>
      <w:r w:rsidR="00C20815">
        <w:rPr>
          <w:color w:val="000000" w:themeColor="text1"/>
          <w:szCs w:val="22"/>
        </w:rPr>
        <w:t xml:space="preserve"> and </w:t>
      </w:r>
      <w:r w:rsidR="00361448">
        <w:rPr>
          <w:color w:val="000000" w:themeColor="text1"/>
          <w:szCs w:val="22"/>
        </w:rPr>
        <w:t xml:space="preserve">avoid destabilizing </w:t>
      </w:r>
      <w:r w:rsidR="00776E11">
        <w:rPr>
          <w:color w:val="000000" w:themeColor="text1"/>
          <w:szCs w:val="22"/>
        </w:rPr>
        <w:t>gaps</w:t>
      </w:r>
      <w:r w:rsidR="00F730B2">
        <w:rPr>
          <w:color w:val="000000" w:themeColor="text1"/>
          <w:szCs w:val="22"/>
        </w:rPr>
        <w:t xml:space="preserve"> and cliffs in funding that threaten providers’ ability to continue serving Medicaid enrollees.</w:t>
      </w:r>
    </w:p>
    <w:p w14:paraId="2D94AD3E" w14:textId="3BC6E4DD" w:rsidR="002F104E" w:rsidRPr="007E7FF3" w:rsidRDefault="002F104E" w:rsidP="00656898">
      <w:pPr>
        <w:rPr>
          <w:rFonts w:cstheme="minorHAnsi"/>
          <w:color w:val="000000" w:themeColor="text1"/>
        </w:rPr>
      </w:pPr>
    </w:p>
    <w:p w14:paraId="5846B4BF" w14:textId="459CC262" w:rsidR="002F104E" w:rsidRPr="007E7FF3" w:rsidRDefault="002F104E" w:rsidP="00656898">
      <w:pPr>
        <w:rPr>
          <w:color w:val="000000" w:themeColor="text1"/>
          <w:szCs w:val="22"/>
        </w:rPr>
      </w:pPr>
      <w:r w:rsidRPr="007E7FF3">
        <w:rPr>
          <w:rFonts w:cstheme="minorHAnsi"/>
          <w:color w:val="000000" w:themeColor="text1"/>
        </w:rPr>
        <w:t xml:space="preserve">We urge CMS to </w:t>
      </w:r>
      <w:r w:rsidR="00984EA2" w:rsidRPr="007E7FF3">
        <w:rPr>
          <w:rFonts w:cstheme="minorHAnsi"/>
          <w:color w:val="000000" w:themeColor="text1"/>
        </w:rPr>
        <w:t>work with Texas to reapprove its waiver extension application and achieve the following outcomes</w:t>
      </w:r>
      <w:r w:rsidR="00F778D4">
        <w:rPr>
          <w:rFonts w:cstheme="minorHAnsi"/>
          <w:color w:val="000000" w:themeColor="text1"/>
        </w:rPr>
        <w:t>.</w:t>
      </w:r>
    </w:p>
    <w:p w14:paraId="0C7D5934" w14:textId="77777777" w:rsidR="00737BD4" w:rsidRPr="007E7FF3" w:rsidRDefault="00737BD4" w:rsidP="00656898">
      <w:pPr>
        <w:rPr>
          <w:color w:val="000000" w:themeColor="text1"/>
          <w:szCs w:val="22"/>
        </w:rPr>
      </w:pPr>
    </w:p>
    <w:p w14:paraId="60AA0B66" w14:textId="2E1336D5" w:rsidR="00314A66" w:rsidRPr="007E7FF3" w:rsidRDefault="00BA43A0" w:rsidP="00314A66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 w:themeColor="text1"/>
        </w:rPr>
      </w:pPr>
      <w:r w:rsidRPr="007E7FF3">
        <w:rPr>
          <w:rFonts w:cstheme="minorHAnsi"/>
          <w:b/>
          <w:bCs/>
          <w:color w:val="000000" w:themeColor="text1"/>
        </w:rPr>
        <w:t>Equivalent or Better</w:t>
      </w:r>
      <w:r w:rsidR="001B60D3" w:rsidRPr="007E7FF3">
        <w:rPr>
          <w:rFonts w:cstheme="minorHAnsi"/>
          <w:b/>
          <w:bCs/>
          <w:color w:val="000000" w:themeColor="text1"/>
        </w:rPr>
        <w:t xml:space="preserve"> </w:t>
      </w:r>
      <w:r w:rsidR="00314A66" w:rsidRPr="007E7FF3">
        <w:rPr>
          <w:rFonts w:cstheme="minorHAnsi"/>
          <w:b/>
          <w:bCs/>
          <w:color w:val="000000" w:themeColor="text1"/>
        </w:rPr>
        <w:t xml:space="preserve">Budget Neutrality Determination: The budget neutrality determinations in any future waiver extension must be </w:t>
      </w:r>
      <w:r w:rsidR="00615CEE">
        <w:rPr>
          <w:rFonts w:cstheme="minorHAnsi"/>
          <w:b/>
          <w:bCs/>
          <w:color w:val="000000" w:themeColor="text1"/>
        </w:rPr>
        <w:t>no less than</w:t>
      </w:r>
      <w:r w:rsidR="00314A66" w:rsidRPr="007E7FF3">
        <w:rPr>
          <w:rFonts w:cstheme="minorHAnsi"/>
          <w:b/>
          <w:bCs/>
          <w:color w:val="000000" w:themeColor="text1"/>
        </w:rPr>
        <w:t xml:space="preserve"> what </w:t>
      </w:r>
      <w:r w:rsidR="00854A5A" w:rsidRPr="007E7FF3">
        <w:rPr>
          <w:rFonts w:cstheme="minorHAnsi"/>
          <w:b/>
          <w:bCs/>
          <w:color w:val="000000" w:themeColor="text1"/>
        </w:rPr>
        <w:t xml:space="preserve">the </w:t>
      </w:r>
      <w:r w:rsidR="00314A66" w:rsidRPr="007E7FF3">
        <w:rPr>
          <w:rFonts w:cstheme="minorHAnsi"/>
          <w:b/>
          <w:bCs/>
          <w:color w:val="000000" w:themeColor="text1"/>
        </w:rPr>
        <w:t>C</w:t>
      </w:r>
      <w:r w:rsidR="00854A5A" w:rsidRPr="007E7FF3">
        <w:rPr>
          <w:rFonts w:cstheme="minorHAnsi"/>
          <w:b/>
          <w:bCs/>
          <w:color w:val="000000" w:themeColor="text1"/>
        </w:rPr>
        <w:t xml:space="preserve">enters for Medicare &amp; Medicaid Services </w:t>
      </w:r>
      <w:r w:rsidR="00314A66" w:rsidRPr="007E7FF3">
        <w:rPr>
          <w:rFonts w:cstheme="minorHAnsi"/>
          <w:b/>
          <w:bCs/>
          <w:color w:val="000000" w:themeColor="text1"/>
        </w:rPr>
        <w:t xml:space="preserve">approved in January 2021. </w:t>
      </w:r>
    </w:p>
    <w:p w14:paraId="7684281C" w14:textId="63C8E3FC" w:rsidR="00314A66" w:rsidRPr="007E7FF3" w:rsidRDefault="00314A66" w:rsidP="00314A66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Texas sought and received the necessary budget neutrality room to sustain needed programs in the January extension. An inadequate budget neutrality determination threatens to significantly </w:t>
      </w:r>
      <w:r w:rsidRPr="007E7FF3">
        <w:rPr>
          <w:rFonts w:cstheme="minorHAnsi"/>
          <w:color w:val="000000" w:themeColor="text1"/>
        </w:rPr>
        <w:lastRenderedPageBreak/>
        <w:t>reduce the overall available funding for Texas’ new waiver extension period</w:t>
      </w:r>
      <w:r w:rsidR="00645825" w:rsidRPr="007E7FF3">
        <w:rPr>
          <w:rFonts w:cstheme="minorHAnsi"/>
          <w:color w:val="000000" w:themeColor="text1"/>
        </w:rPr>
        <w:t xml:space="preserve">. This will </w:t>
      </w:r>
      <w:r w:rsidRPr="007E7FF3">
        <w:rPr>
          <w:rFonts w:cstheme="minorHAnsi"/>
          <w:color w:val="000000" w:themeColor="text1"/>
        </w:rPr>
        <w:t xml:space="preserve">hinder Texas' ability to maintain its current Medicaid program, services for the uninsured and payment programs to offset costs providers incur for treating underinsured and uninsured individuals. </w:t>
      </w:r>
    </w:p>
    <w:p w14:paraId="74488FAC" w14:textId="1D28F06A" w:rsidR="00314A66" w:rsidRPr="008C322A" w:rsidRDefault="00314A66" w:rsidP="008C322A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Without adequate budget neutrality room, the state’s ability to transition </w:t>
      </w:r>
      <w:r w:rsidR="008A1151">
        <w:rPr>
          <w:rFonts w:cstheme="minorHAnsi"/>
          <w:color w:val="000000" w:themeColor="text1"/>
        </w:rPr>
        <w:t xml:space="preserve">DSRIP </w:t>
      </w:r>
      <w:r w:rsidRPr="007E7FF3">
        <w:rPr>
          <w:rFonts w:cstheme="minorHAnsi"/>
          <w:color w:val="000000" w:themeColor="text1"/>
        </w:rPr>
        <w:t xml:space="preserve">and improve care quality with new </w:t>
      </w:r>
      <w:r w:rsidR="007A53A6">
        <w:rPr>
          <w:rFonts w:cstheme="minorHAnsi"/>
          <w:color w:val="000000" w:themeColor="text1"/>
        </w:rPr>
        <w:t xml:space="preserve">DPPs </w:t>
      </w:r>
      <w:r w:rsidRPr="007E7FF3">
        <w:rPr>
          <w:rFonts w:cstheme="minorHAnsi"/>
          <w:color w:val="000000" w:themeColor="text1"/>
        </w:rPr>
        <w:t xml:space="preserve">would be significantly limited. </w:t>
      </w:r>
      <w:r w:rsidR="0011520F" w:rsidRPr="008C322A">
        <w:rPr>
          <w:rFonts w:cstheme="minorHAnsi"/>
          <w:color w:val="000000" w:themeColor="text1"/>
        </w:rPr>
        <w:t xml:space="preserve">The amount of total funding for </w:t>
      </w:r>
      <w:r w:rsidR="002D310D" w:rsidRPr="008C322A">
        <w:rPr>
          <w:rFonts w:cstheme="minorHAnsi"/>
          <w:color w:val="000000" w:themeColor="text1"/>
        </w:rPr>
        <w:t>DPPs</w:t>
      </w:r>
      <w:r w:rsidR="0011520F" w:rsidRPr="008C322A">
        <w:rPr>
          <w:rFonts w:cstheme="minorHAnsi"/>
          <w:color w:val="000000" w:themeColor="text1"/>
        </w:rPr>
        <w:t xml:space="preserve"> and the length of time that funding is approved depends on the budget neutrality agreement reached between Texas and the federal government.</w:t>
      </w:r>
      <w:r w:rsidR="002A23F4" w:rsidRPr="008C322A">
        <w:rPr>
          <w:rFonts w:cstheme="minorHAnsi"/>
          <w:color w:val="000000" w:themeColor="text1"/>
        </w:rPr>
        <w:t xml:space="preserve"> </w:t>
      </w:r>
      <w:r w:rsidRPr="008C322A">
        <w:rPr>
          <w:rFonts w:cstheme="minorHAnsi"/>
          <w:color w:val="000000" w:themeColor="text1"/>
        </w:rPr>
        <w:t xml:space="preserve">A budget neutrality rebasing that </w:t>
      </w:r>
      <w:r w:rsidR="004F37F8" w:rsidRPr="008C322A">
        <w:rPr>
          <w:rFonts w:cstheme="minorHAnsi"/>
          <w:color w:val="000000" w:themeColor="text1"/>
        </w:rPr>
        <w:t>reduces</w:t>
      </w:r>
      <w:r w:rsidRPr="008C322A">
        <w:rPr>
          <w:rFonts w:cstheme="minorHAnsi"/>
          <w:color w:val="000000" w:themeColor="text1"/>
        </w:rPr>
        <w:t xml:space="preserve"> funds available for these new programs just as they are getting off the ground</w:t>
      </w:r>
      <w:r w:rsidR="008C322A" w:rsidRPr="008C322A">
        <w:rPr>
          <w:rFonts w:cstheme="minorHAnsi"/>
          <w:color w:val="000000" w:themeColor="text1"/>
        </w:rPr>
        <w:t xml:space="preserve">, </w:t>
      </w:r>
      <w:r w:rsidR="008C322A">
        <w:rPr>
          <w:rFonts w:cstheme="minorHAnsi"/>
          <w:color w:val="000000" w:themeColor="text1"/>
        </w:rPr>
        <w:t xml:space="preserve">which could occur </w:t>
      </w:r>
      <w:r w:rsidR="008C322A" w:rsidRPr="008C322A">
        <w:rPr>
          <w:rFonts w:cstheme="minorHAnsi"/>
          <w:color w:val="000000" w:themeColor="text1"/>
        </w:rPr>
        <w:t xml:space="preserve">as soon as state fiscal year 2022, </w:t>
      </w:r>
      <w:r w:rsidRPr="008C322A">
        <w:rPr>
          <w:rFonts w:cstheme="minorHAnsi"/>
          <w:color w:val="000000" w:themeColor="text1"/>
        </w:rPr>
        <w:t xml:space="preserve">would </w:t>
      </w:r>
      <w:r w:rsidR="008C322A">
        <w:rPr>
          <w:rFonts w:cstheme="minorHAnsi"/>
          <w:color w:val="000000" w:themeColor="text1"/>
        </w:rPr>
        <w:t>create a</w:t>
      </w:r>
      <w:r w:rsidRPr="008C322A">
        <w:rPr>
          <w:rFonts w:cstheme="minorHAnsi"/>
          <w:color w:val="000000" w:themeColor="text1"/>
        </w:rPr>
        <w:t xml:space="preserve"> “fiscal cliff” </w:t>
      </w:r>
      <w:r w:rsidR="008C322A">
        <w:rPr>
          <w:rFonts w:cstheme="minorHAnsi"/>
          <w:color w:val="000000" w:themeColor="text1"/>
        </w:rPr>
        <w:t>with</w:t>
      </w:r>
      <w:r w:rsidRPr="008C322A">
        <w:rPr>
          <w:rFonts w:cstheme="minorHAnsi"/>
          <w:color w:val="000000" w:themeColor="text1"/>
        </w:rPr>
        <w:t xml:space="preserve"> serious implications for providers and patients. </w:t>
      </w:r>
    </w:p>
    <w:p w14:paraId="1EBCADC7" w14:textId="1FBB14F9" w:rsidR="00314A66" w:rsidRPr="007E7FF3" w:rsidRDefault="00314A66" w:rsidP="00314A66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Providers’ ability to plan beyond </w:t>
      </w:r>
      <w:r w:rsidR="00AD310E" w:rsidRPr="007E7FF3">
        <w:rPr>
          <w:rFonts w:cstheme="minorHAnsi"/>
          <w:color w:val="000000" w:themeColor="text1"/>
        </w:rPr>
        <w:t>the next year</w:t>
      </w:r>
      <w:r w:rsidRPr="007E7FF3">
        <w:rPr>
          <w:rFonts w:cstheme="minorHAnsi"/>
          <w:color w:val="000000" w:themeColor="text1"/>
        </w:rPr>
        <w:t xml:space="preserve"> is impaired without certainty that </w:t>
      </w:r>
      <w:r w:rsidR="00172B60">
        <w:rPr>
          <w:rFonts w:cstheme="minorHAnsi"/>
          <w:color w:val="000000" w:themeColor="text1"/>
        </w:rPr>
        <w:t xml:space="preserve">funding </w:t>
      </w:r>
      <w:r w:rsidR="0007385D">
        <w:rPr>
          <w:rFonts w:cstheme="minorHAnsi"/>
          <w:color w:val="000000" w:themeColor="text1"/>
        </w:rPr>
        <w:t xml:space="preserve">is protected </w:t>
      </w:r>
      <w:r w:rsidR="00172B60">
        <w:rPr>
          <w:rFonts w:cstheme="minorHAnsi"/>
          <w:color w:val="000000" w:themeColor="text1"/>
        </w:rPr>
        <w:t xml:space="preserve">for Texas’ eventual </w:t>
      </w:r>
      <w:r w:rsidR="00433807" w:rsidRPr="007E7FF3">
        <w:rPr>
          <w:rFonts w:cstheme="minorHAnsi"/>
          <w:color w:val="000000" w:themeColor="text1"/>
        </w:rPr>
        <w:t>DPP</w:t>
      </w:r>
      <w:r w:rsidR="00172B60">
        <w:rPr>
          <w:rFonts w:cstheme="minorHAnsi"/>
          <w:color w:val="000000" w:themeColor="text1"/>
        </w:rPr>
        <w:t>s</w:t>
      </w:r>
      <w:r w:rsidR="00DE3194" w:rsidRPr="007E7FF3">
        <w:rPr>
          <w:rFonts w:cstheme="minorHAnsi"/>
          <w:color w:val="000000" w:themeColor="text1"/>
        </w:rPr>
        <w:t xml:space="preserve"> </w:t>
      </w:r>
      <w:r w:rsidR="0026447E">
        <w:rPr>
          <w:rFonts w:cstheme="minorHAnsi"/>
          <w:color w:val="000000" w:themeColor="text1"/>
        </w:rPr>
        <w:t>and other payment pools</w:t>
      </w:r>
      <w:r w:rsidRPr="007E7FF3">
        <w:rPr>
          <w:rFonts w:cstheme="minorHAnsi"/>
          <w:color w:val="000000" w:themeColor="text1"/>
        </w:rPr>
        <w:t xml:space="preserve">. Texas needs a budget neutrality determination at least equal to the previously approved extension to ensure DPPs </w:t>
      </w:r>
      <w:r w:rsidR="00164503" w:rsidRPr="007E7FF3">
        <w:rPr>
          <w:rFonts w:cstheme="minorHAnsi"/>
          <w:color w:val="000000" w:themeColor="text1"/>
        </w:rPr>
        <w:t xml:space="preserve">and waiver pools </w:t>
      </w:r>
      <w:r w:rsidRPr="007E7FF3">
        <w:rPr>
          <w:rFonts w:cstheme="minorHAnsi"/>
          <w:color w:val="000000" w:themeColor="text1"/>
        </w:rPr>
        <w:t xml:space="preserve">can </w:t>
      </w:r>
      <w:r w:rsidR="00DE3194" w:rsidRPr="007E7FF3">
        <w:rPr>
          <w:rFonts w:cstheme="minorHAnsi"/>
          <w:color w:val="000000" w:themeColor="text1"/>
        </w:rPr>
        <w:t>operate predictably into the future.</w:t>
      </w:r>
    </w:p>
    <w:p w14:paraId="47635B2C" w14:textId="77777777" w:rsidR="00314A66" w:rsidRPr="007E7FF3" w:rsidRDefault="00314A66" w:rsidP="00314A66">
      <w:pPr>
        <w:pStyle w:val="ListParagraph"/>
        <w:spacing w:after="160" w:line="259" w:lineRule="auto"/>
        <w:ind w:left="1440"/>
        <w:rPr>
          <w:rFonts w:cstheme="minorHAnsi"/>
          <w:color w:val="000000" w:themeColor="text1"/>
        </w:rPr>
      </w:pPr>
    </w:p>
    <w:p w14:paraId="49AD8372" w14:textId="77777777" w:rsidR="00314A66" w:rsidRPr="007E7FF3" w:rsidRDefault="00314A66" w:rsidP="00314A6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b/>
          <w:bCs/>
          <w:color w:val="000000" w:themeColor="text1"/>
        </w:rPr>
        <w:t>A Strong Hospital Uncompensated Care Pool: Texas needs continued funding for the existing hospital uncompensated care pool.</w:t>
      </w:r>
    </w:p>
    <w:p w14:paraId="20988BCD" w14:textId="213A187D" w:rsidR="00314A66" w:rsidRPr="007E7FF3" w:rsidRDefault="00B632BB" w:rsidP="00314A66">
      <w:pPr>
        <w:pStyle w:val="ListParagraph"/>
        <w:numPr>
          <w:ilvl w:val="1"/>
          <w:numId w:val="2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>I</w:t>
      </w:r>
      <w:r w:rsidR="00314A66" w:rsidRPr="007E7FF3">
        <w:rPr>
          <w:rFonts w:cstheme="minorHAnsi"/>
          <w:color w:val="000000" w:themeColor="text1"/>
        </w:rPr>
        <w:t xml:space="preserve">f Texas were to expand Medicaid eligibility, Texas providers </w:t>
      </w:r>
      <w:r w:rsidRPr="007E7FF3">
        <w:rPr>
          <w:rFonts w:cstheme="minorHAnsi"/>
          <w:color w:val="000000" w:themeColor="text1"/>
        </w:rPr>
        <w:t xml:space="preserve">still </w:t>
      </w:r>
      <w:r w:rsidR="00314A66" w:rsidRPr="007E7FF3">
        <w:rPr>
          <w:rFonts w:cstheme="minorHAnsi"/>
          <w:color w:val="000000" w:themeColor="text1"/>
        </w:rPr>
        <w:t xml:space="preserve">would continue to incur significant </w:t>
      </w:r>
      <w:r w:rsidR="005952A8" w:rsidRPr="007E7FF3">
        <w:rPr>
          <w:rFonts w:cstheme="minorHAnsi"/>
          <w:color w:val="000000" w:themeColor="text1"/>
        </w:rPr>
        <w:t>uncompensated care</w:t>
      </w:r>
      <w:r w:rsidR="00314A66" w:rsidRPr="007E7FF3">
        <w:rPr>
          <w:rFonts w:cstheme="minorHAnsi"/>
          <w:color w:val="000000" w:themeColor="text1"/>
        </w:rPr>
        <w:t xml:space="preserve"> costs. Expansion would cover about 1.2 million </w:t>
      </w:r>
      <w:r w:rsidR="0039075C" w:rsidRPr="007E7FF3">
        <w:rPr>
          <w:rFonts w:cstheme="minorHAnsi"/>
          <w:color w:val="000000" w:themeColor="text1"/>
        </w:rPr>
        <w:t>of Texas’ 5 million uninsured</w:t>
      </w:r>
      <w:r w:rsidR="00314A66" w:rsidRPr="007E7FF3">
        <w:rPr>
          <w:rFonts w:cstheme="minorHAnsi"/>
          <w:color w:val="000000" w:themeColor="text1"/>
        </w:rPr>
        <w:t xml:space="preserve">, leaving the remaining 3.8 million still reliant on indigent care services </w:t>
      </w:r>
      <w:r w:rsidR="00532B02">
        <w:rPr>
          <w:rFonts w:cstheme="minorHAnsi"/>
          <w:color w:val="000000" w:themeColor="text1"/>
        </w:rPr>
        <w:t>for which</w:t>
      </w:r>
      <w:r w:rsidR="00314A66" w:rsidRPr="007E7FF3">
        <w:rPr>
          <w:rFonts w:cstheme="minorHAnsi"/>
          <w:color w:val="000000" w:themeColor="text1"/>
        </w:rPr>
        <w:t xml:space="preserve"> UC funding helps offset the cost. </w:t>
      </w:r>
    </w:p>
    <w:p w14:paraId="1737F3B8" w14:textId="3F20ECE9" w:rsidR="00314A66" w:rsidRPr="007E7FF3" w:rsidRDefault="00314A66" w:rsidP="00314A66">
      <w:pPr>
        <w:pStyle w:val="ListParagraph"/>
        <w:numPr>
          <w:ilvl w:val="1"/>
          <w:numId w:val="2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Limiting or eliminating UC pools hurts patients’ access to care and the safety net providers that are required by </w:t>
      </w:r>
      <w:r w:rsidR="00144ADE" w:rsidRPr="007E7FF3">
        <w:rPr>
          <w:rFonts w:cstheme="minorHAnsi"/>
          <w:color w:val="000000" w:themeColor="text1"/>
        </w:rPr>
        <w:t>t</w:t>
      </w:r>
      <w:r w:rsidRPr="007E7FF3">
        <w:rPr>
          <w:rFonts w:cstheme="minorHAnsi"/>
          <w:color w:val="000000" w:themeColor="text1"/>
        </w:rPr>
        <w:t xml:space="preserve">he Emergency Medical Treatment and Labor Act to provide emergency care for anyone who seeks it, regardless of their ability to pay. </w:t>
      </w:r>
      <w:r w:rsidR="005917FD">
        <w:rPr>
          <w:rFonts w:cstheme="minorHAnsi"/>
          <w:color w:val="000000" w:themeColor="text1"/>
        </w:rPr>
        <w:t xml:space="preserve">Even after </w:t>
      </w:r>
      <w:r w:rsidRPr="007E7FF3">
        <w:rPr>
          <w:rFonts w:cstheme="minorHAnsi"/>
          <w:color w:val="000000" w:themeColor="text1"/>
        </w:rPr>
        <w:t>funding from the waiver and other supplemental payment programs</w:t>
      </w:r>
      <w:r w:rsidR="005917FD">
        <w:rPr>
          <w:rFonts w:cstheme="minorHAnsi"/>
          <w:color w:val="000000" w:themeColor="text1"/>
        </w:rPr>
        <w:t>,</w:t>
      </w:r>
      <w:r w:rsidR="00BC224D">
        <w:rPr>
          <w:rFonts w:cstheme="minorHAnsi"/>
          <w:color w:val="000000" w:themeColor="text1"/>
        </w:rPr>
        <w:t xml:space="preserve"> T</w:t>
      </w:r>
      <w:r w:rsidRPr="007E7FF3">
        <w:rPr>
          <w:rFonts w:cstheme="minorHAnsi"/>
          <w:color w:val="000000" w:themeColor="text1"/>
        </w:rPr>
        <w:t xml:space="preserve">exas hospitals incurred more than $4.6 billion in UC costs in 2020 alone. </w:t>
      </w:r>
    </w:p>
    <w:p w14:paraId="588D8ED1" w14:textId="77777777" w:rsidR="00314A66" w:rsidRPr="007E7FF3" w:rsidRDefault="00314A66" w:rsidP="00314A66">
      <w:pPr>
        <w:pStyle w:val="ListParagraph"/>
        <w:spacing w:after="160" w:line="259" w:lineRule="auto"/>
        <w:ind w:left="1440"/>
        <w:rPr>
          <w:rFonts w:cstheme="minorHAnsi"/>
          <w:color w:val="000000" w:themeColor="text1"/>
        </w:rPr>
      </w:pPr>
    </w:p>
    <w:p w14:paraId="49ACD1E0" w14:textId="3141C897" w:rsidR="00314A66" w:rsidRPr="007E7FF3" w:rsidRDefault="00F16B34" w:rsidP="00314A6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  <w:color w:val="000000" w:themeColor="text1"/>
        </w:rPr>
      </w:pPr>
      <w:r w:rsidRPr="007E7FF3">
        <w:rPr>
          <w:rFonts w:cstheme="minorHAnsi"/>
          <w:b/>
          <w:bCs/>
          <w:color w:val="000000" w:themeColor="text1"/>
        </w:rPr>
        <w:t xml:space="preserve">Reinforce the </w:t>
      </w:r>
      <w:r w:rsidR="00314A66" w:rsidRPr="007E7FF3">
        <w:rPr>
          <w:rFonts w:cstheme="minorHAnsi"/>
          <w:b/>
          <w:bCs/>
          <w:color w:val="000000" w:themeColor="text1"/>
        </w:rPr>
        <w:t>Behavioral Health Safety Net: Urgent action is needed to preserve access to safety net mental health and substance use services.</w:t>
      </w:r>
    </w:p>
    <w:p w14:paraId="05FC5213" w14:textId="7C3F5CE2" w:rsidR="00314A66" w:rsidRPr="007E7FF3" w:rsidRDefault="00D8640B" w:rsidP="00314A66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With </w:t>
      </w:r>
      <w:r w:rsidR="006D7043" w:rsidRPr="007E7FF3">
        <w:rPr>
          <w:rFonts w:cstheme="minorHAnsi"/>
          <w:color w:val="000000" w:themeColor="text1"/>
        </w:rPr>
        <w:t>significant</w:t>
      </w:r>
      <w:r w:rsidR="00314A66" w:rsidRPr="007E7FF3">
        <w:rPr>
          <w:rFonts w:cstheme="minorHAnsi"/>
          <w:color w:val="000000" w:themeColor="text1"/>
        </w:rPr>
        <w:t xml:space="preserve"> funding</w:t>
      </w:r>
      <w:r w:rsidR="005C3921" w:rsidRPr="007E7FF3">
        <w:rPr>
          <w:rFonts w:cstheme="minorHAnsi"/>
          <w:color w:val="000000" w:themeColor="text1"/>
        </w:rPr>
        <w:t xml:space="preserve"> loss</w:t>
      </w:r>
      <w:r w:rsidRPr="007E7FF3">
        <w:rPr>
          <w:rFonts w:cstheme="minorHAnsi"/>
          <w:color w:val="000000" w:themeColor="text1"/>
        </w:rPr>
        <w:t xml:space="preserve"> on the horizon for community mental health providers, patients’ access to </w:t>
      </w:r>
      <w:r w:rsidR="00956473" w:rsidRPr="007E7FF3">
        <w:rPr>
          <w:rFonts w:cstheme="minorHAnsi"/>
          <w:color w:val="000000" w:themeColor="text1"/>
        </w:rPr>
        <w:t>medically necessary behavioral health care is in jeopardy</w:t>
      </w:r>
      <w:r w:rsidR="00314A66" w:rsidRPr="007E7FF3">
        <w:rPr>
          <w:rFonts w:cstheme="minorHAnsi"/>
          <w:color w:val="000000" w:themeColor="text1"/>
        </w:rPr>
        <w:t>.</w:t>
      </w:r>
      <w:r w:rsidR="005C3921" w:rsidRPr="007E7FF3">
        <w:rPr>
          <w:rFonts w:cstheme="minorHAnsi"/>
          <w:color w:val="000000" w:themeColor="text1"/>
        </w:rPr>
        <w:t xml:space="preserve"> </w:t>
      </w:r>
      <w:r w:rsidR="00AF2C7F" w:rsidRPr="007E7FF3">
        <w:rPr>
          <w:rFonts w:cstheme="minorHAnsi"/>
          <w:color w:val="000000" w:themeColor="text1"/>
        </w:rPr>
        <w:t>The</w:t>
      </w:r>
      <w:r w:rsidR="00314A66" w:rsidRPr="007E7FF3">
        <w:rPr>
          <w:rFonts w:cstheme="minorHAnsi"/>
          <w:color w:val="000000" w:themeColor="text1"/>
        </w:rPr>
        <w:t xml:space="preserve"> behavioral health safety net stands to lose $330 million </w:t>
      </w:r>
      <w:r w:rsidR="005C3921" w:rsidRPr="007E7FF3">
        <w:rPr>
          <w:rFonts w:cstheme="minorHAnsi"/>
          <w:color w:val="000000" w:themeColor="text1"/>
        </w:rPr>
        <w:t>a</w:t>
      </w:r>
      <w:r w:rsidR="00314A66" w:rsidRPr="007E7FF3">
        <w:rPr>
          <w:rFonts w:cstheme="minorHAnsi"/>
          <w:color w:val="000000" w:themeColor="text1"/>
        </w:rPr>
        <w:t xml:space="preserve"> year in federal funds when DSRIP expire</w:t>
      </w:r>
      <w:r w:rsidR="00DA0ABC" w:rsidRPr="007E7FF3">
        <w:rPr>
          <w:rFonts w:cstheme="minorHAnsi"/>
          <w:color w:val="000000" w:themeColor="text1"/>
        </w:rPr>
        <w:t>s</w:t>
      </w:r>
      <w:r w:rsidR="005C3921" w:rsidRPr="007E7FF3">
        <w:rPr>
          <w:rFonts w:cstheme="minorHAnsi"/>
          <w:color w:val="000000" w:themeColor="text1"/>
        </w:rPr>
        <w:t>.</w:t>
      </w:r>
    </w:p>
    <w:p w14:paraId="67918005" w14:textId="63A17DDA" w:rsidR="00314A66" w:rsidRDefault="00314A66" w:rsidP="00604985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The </w:t>
      </w:r>
      <w:r w:rsidR="00E70695" w:rsidRPr="007E7FF3">
        <w:rPr>
          <w:rFonts w:cstheme="minorHAnsi"/>
          <w:color w:val="000000" w:themeColor="text1"/>
        </w:rPr>
        <w:t xml:space="preserve">waiver extension application </w:t>
      </w:r>
      <w:r w:rsidR="007812B8">
        <w:rPr>
          <w:rFonts w:cstheme="minorHAnsi"/>
          <w:color w:val="000000" w:themeColor="text1"/>
        </w:rPr>
        <w:t>includes</w:t>
      </w:r>
      <w:r w:rsidR="00E70695" w:rsidRPr="007E7FF3">
        <w:rPr>
          <w:rFonts w:cstheme="minorHAnsi"/>
          <w:color w:val="000000" w:themeColor="text1"/>
        </w:rPr>
        <w:t xml:space="preserve"> </w:t>
      </w:r>
      <w:r w:rsidR="008C4F2D">
        <w:rPr>
          <w:rFonts w:cstheme="minorHAnsi"/>
          <w:color w:val="000000" w:themeColor="text1"/>
        </w:rPr>
        <w:t xml:space="preserve">the </w:t>
      </w:r>
      <w:r w:rsidR="00604985" w:rsidRPr="007E7FF3">
        <w:rPr>
          <w:rFonts w:cstheme="minorHAnsi"/>
          <w:color w:val="000000" w:themeColor="text1"/>
        </w:rPr>
        <w:t>public health providers – charity care pool</w:t>
      </w:r>
      <w:r w:rsidR="008C4F2D">
        <w:rPr>
          <w:rFonts w:cstheme="minorHAnsi"/>
          <w:color w:val="000000" w:themeColor="text1"/>
        </w:rPr>
        <w:t>,</w:t>
      </w:r>
      <w:r w:rsidR="00604985" w:rsidRPr="007E7FF3">
        <w:rPr>
          <w:rFonts w:cstheme="minorHAnsi"/>
          <w:color w:val="000000" w:themeColor="text1"/>
        </w:rPr>
        <w:t xml:space="preserve"> </w:t>
      </w:r>
      <w:r w:rsidR="00965132" w:rsidRPr="007E7FF3">
        <w:rPr>
          <w:rFonts w:cstheme="minorHAnsi"/>
          <w:color w:val="000000" w:themeColor="text1"/>
        </w:rPr>
        <w:t>worth $500 million a year, to</w:t>
      </w:r>
      <w:r w:rsidRPr="007E7FF3">
        <w:rPr>
          <w:rFonts w:cstheme="minorHAnsi"/>
          <w:color w:val="000000" w:themeColor="text1"/>
        </w:rPr>
        <w:t xml:space="preserve"> </w:t>
      </w:r>
      <w:r w:rsidR="004D1DB2" w:rsidRPr="007E7FF3">
        <w:rPr>
          <w:rFonts w:cstheme="minorHAnsi"/>
          <w:color w:val="000000" w:themeColor="text1"/>
        </w:rPr>
        <w:t>offset un</w:t>
      </w:r>
      <w:r w:rsidRPr="007E7FF3">
        <w:rPr>
          <w:rFonts w:cstheme="minorHAnsi"/>
          <w:color w:val="000000" w:themeColor="text1"/>
        </w:rPr>
        <w:t>reimburs</w:t>
      </w:r>
      <w:r w:rsidR="00965132" w:rsidRPr="007E7FF3">
        <w:rPr>
          <w:rFonts w:cstheme="minorHAnsi"/>
          <w:color w:val="000000" w:themeColor="text1"/>
        </w:rPr>
        <w:t>e</w:t>
      </w:r>
      <w:r w:rsidR="004D1DB2" w:rsidRPr="007E7FF3">
        <w:rPr>
          <w:rFonts w:cstheme="minorHAnsi"/>
          <w:color w:val="000000" w:themeColor="text1"/>
        </w:rPr>
        <w:t>d</w:t>
      </w:r>
      <w:r w:rsidR="00965132" w:rsidRPr="007E7FF3">
        <w:rPr>
          <w:rFonts w:cstheme="minorHAnsi"/>
          <w:color w:val="000000" w:themeColor="text1"/>
        </w:rPr>
        <w:t xml:space="preserve"> </w:t>
      </w:r>
      <w:r w:rsidR="004D1DB2" w:rsidRPr="007E7FF3">
        <w:rPr>
          <w:rFonts w:cstheme="minorHAnsi"/>
          <w:color w:val="000000" w:themeColor="text1"/>
        </w:rPr>
        <w:t xml:space="preserve">costs </w:t>
      </w:r>
      <w:r w:rsidRPr="007E7FF3">
        <w:rPr>
          <w:rFonts w:cstheme="minorHAnsi"/>
          <w:color w:val="000000" w:themeColor="text1"/>
        </w:rPr>
        <w:t xml:space="preserve">community mental health centers and local health departments </w:t>
      </w:r>
      <w:r w:rsidR="004D1DB2" w:rsidRPr="007E7FF3">
        <w:rPr>
          <w:rFonts w:cstheme="minorHAnsi"/>
          <w:color w:val="000000" w:themeColor="text1"/>
        </w:rPr>
        <w:t xml:space="preserve">incur caring for </w:t>
      </w:r>
      <w:r w:rsidRPr="007E7FF3">
        <w:rPr>
          <w:rFonts w:cstheme="minorHAnsi"/>
          <w:color w:val="000000" w:themeColor="text1"/>
        </w:rPr>
        <w:t>people with serious mental illness and substance use disorders</w:t>
      </w:r>
      <w:r w:rsidR="00611232" w:rsidRPr="007E7FF3">
        <w:rPr>
          <w:rFonts w:cstheme="minorHAnsi"/>
          <w:color w:val="000000" w:themeColor="text1"/>
        </w:rPr>
        <w:t xml:space="preserve"> without any form </w:t>
      </w:r>
      <w:r w:rsidR="000F7D94" w:rsidRPr="007E7FF3">
        <w:rPr>
          <w:rFonts w:cstheme="minorHAnsi"/>
          <w:color w:val="000000" w:themeColor="text1"/>
        </w:rPr>
        <w:t xml:space="preserve">of </w:t>
      </w:r>
      <w:r w:rsidR="00611232" w:rsidRPr="007E7FF3">
        <w:rPr>
          <w:rFonts w:cstheme="minorHAnsi"/>
          <w:color w:val="000000" w:themeColor="text1"/>
        </w:rPr>
        <w:t>third-party payment.</w:t>
      </w:r>
    </w:p>
    <w:p w14:paraId="12527C1D" w14:textId="1E83213E" w:rsidR="007812B8" w:rsidRPr="007E7FF3" w:rsidRDefault="00016836" w:rsidP="00016836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also urge CMS to </w:t>
      </w:r>
      <w:r w:rsidR="0000502F">
        <w:rPr>
          <w:rFonts w:cstheme="minorHAnsi"/>
          <w:color w:val="000000" w:themeColor="text1"/>
        </w:rPr>
        <w:t xml:space="preserve">work with Texas to establish the directed payment program for </w:t>
      </w:r>
      <w:r w:rsidR="00EA052D">
        <w:rPr>
          <w:rFonts w:cstheme="minorHAnsi"/>
          <w:color w:val="000000" w:themeColor="text1"/>
        </w:rPr>
        <w:t>behavioral</w:t>
      </w:r>
      <w:r w:rsidR="0000502F">
        <w:rPr>
          <w:rFonts w:cstheme="minorHAnsi"/>
          <w:color w:val="000000" w:themeColor="text1"/>
        </w:rPr>
        <w:t xml:space="preserve"> health services, </w:t>
      </w:r>
      <w:r w:rsidR="00EA052D">
        <w:rPr>
          <w:rFonts w:cstheme="minorHAnsi"/>
          <w:color w:val="000000" w:themeColor="text1"/>
        </w:rPr>
        <w:t>which as previously proposed would provide $166 million annually in payments to community mental health providers serving Medicaid clients.</w:t>
      </w:r>
    </w:p>
    <w:p w14:paraId="74629597" w14:textId="5692A4E5" w:rsidR="00314A66" w:rsidRPr="007E7FF3" w:rsidRDefault="00314A66" w:rsidP="00314A66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If these funds are not preserved, </w:t>
      </w:r>
      <w:r w:rsidR="00973B4C">
        <w:rPr>
          <w:rFonts w:cstheme="minorHAnsi"/>
          <w:color w:val="000000" w:themeColor="text1"/>
        </w:rPr>
        <w:t>Medicaid enrollees and uninsured patients</w:t>
      </w:r>
      <w:r w:rsidR="009375C8" w:rsidRPr="007E7FF3">
        <w:rPr>
          <w:rFonts w:cstheme="minorHAnsi"/>
          <w:color w:val="000000" w:themeColor="text1"/>
        </w:rPr>
        <w:t xml:space="preserve"> with</w:t>
      </w:r>
      <w:r w:rsidRPr="007E7FF3">
        <w:rPr>
          <w:rFonts w:cstheme="minorHAnsi"/>
          <w:color w:val="000000" w:themeColor="text1"/>
        </w:rPr>
        <w:t xml:space="preserve"> </w:t>
      </w:r>
      <w:r w:rsidR="00BA6ADE">
        <w:rPr>
          <w:rFonts w:cstheme="minorHAnsi"/>
          <w:color w:val="000000" w:themeColor="text1"/>
        </w:rPr>
        <w:t xml:space="preserve">serious behavioral health conditions </w:t>
      </w:r>
      <w:r w:rsidRPr="007E7FF3">
        <w:rPr>
          <w:rFonts w:cstheme="minorHAnsi"/>
          <w:color w:val="000000" w:themeColor="text1"/>
        </w:rPr>
        <w:t xml:space="preserve">may lose </w:t>
      </w:r>
      <w:r w:rsidR="009375C8" w:rsidRPr="007E7FF3">
        <w:rPr>
          <w:rFonts w:cstheme="minorHAnsi"/>
          <w:color w:val="000000" w:themeColor="text1"/>
        </w:rPr>
        <w:t xml:space="preserve">access to </w:t>
      </w:r>
      <w:r w:rsidRPr="007E7FF3">
        <w:rPr>
          <w:rFonts w:cstheme="minorHAnsi"/>
          <w:color w:val="000000" w:themeColor="text1"/>
        </w:rPr>
        <w:t xml:space="preserve">community-based </w:t>
      </w:r>
      <w:r w:rsidR="009375C8" w:rsidRPr="007E7FF3">
        <w:rPr>
          <w:rFonts w:cstheme="minorHAnsi"/>
          <w:color w:val="000000" w:themeColor="text1"/>
        </w:rPr>
        <w:t>services</w:t>
      </w:r>
      <w:r w:rsidRPr="007E7FF3">
        <w:rPr>
          <w:rFonts w:cstheme="minorHAnsi"/>
          <w:color w:val="000000" w:themeColor="text1"/>
        </w:rPr>
        <w:t xml:space="preserve">, </w:t>
      </w:r>
      <w:r w:rsidR="00ED1DBB" w:rsidRPr="007E7FF3">
        <w:rPr>
          <w:rFonts w:cstheme="minorHAnsi"/>
          <w:color w:val="000000" w:themeColor="text1"/>
        </w:rPr>
        <w:t xml:space="preserve">increasing reliance on clinically inappropriate care settings such as hospital emergency departments. </w:t>
      </w:r>
    </w:p>
    <w:p w14:paraId="60E53CFE" w14:textId="77777777" w:rsidR="00ED1DBB" w:rsidRPr="007E7FF3" w:rsidRDefault="00ED1DBB" w:rsidP="00ED1DBB">
      <w:pPr>
        <w:pStyle w:val="ListParagraph"/>
        <w:spacing w:after="160" w:line="259" w:lineRule="auto"/>
        <w:ind w:left="1440"/>
        <w:rPr>
          <w:rFonts w:cstheme="minorHAnsi"/>
          <w:color w:val="000000" w:themeColor="text1"/>
        </w:rPr>
      </w:pPr>
    </w:p>
    <w:p w14:paraId="0511C8F5" w14:textId="118E8BAE" w:rsidR="00314A66" w:rsidRPr="007E7FF3" w:rsidRDefault="00314A66" w:rsidP="00314A66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  <w:b/>
          <w:bCs/>
          <w:color w:val="000000" w:themeColor="text1"/>
        </w:rPr>
      </w:pPr>
      <w:r w:rsidRPr="007E7FF3">
        <w:rPr>
          <w:rFonts w:cstheme="minorHAnsi"/>
          <w:b/>
          <w:bCs/>
          <w:color w:val="000000" w:themeColor="text1"/>
        </w:rPr>
        <w:lastRenderedPageBreak/>
        <w:t xml:space="preserve">Comprehensive </w:t>
      </w:r>
      <w:r w:rsidR="00ED1DBB" w:rsidRPr="007E7FF3">
        <w:rPr>
          <w:rFonts w:cstheme="minorHAnsi"/>
          <w:b/>
          <w:bCs/>
          <w:color w:val="000000" w:themeColor="text1"/>
        </w:rPr>
        <w:t xml:space="preserve">Health Care </w:t>
      </w:r>
      <w:r w:rsidRPr="007E7FF3">
        <w:rPr>
          <w:rFonts w:cstheme="minorHAnsi"/>
          <w:b/>
          <w:bCs/>
          <w:color w:val="000000" w:themeColor="text1"/>
        </w:rPr>
        <w:t>Coverage:</w:t>
      </w:r>
      <w:r w:rsidR="00FC1415" w:rsidRPr="007E7FF3">
        <w:rPr>
          <w:rFonts w:cstheme="minorHAnsi"/>
          <w:b/>
          <w:bCs/>
          <w:color w:val="000000" w:themeColor="text1"/>
        </w:rPr>
        <w:t xml:space="preserve"> </w:t>
      </w:r>
      <w:r w:rsidRPr="007E7FF3">
        <w:rPr>
          <w:rFonts w:cstheme="minorHAnsi"/>
          <w:b/>
          <w:bCs/>
          <w:color w:val="000000" w:themeColor="text1"/>
        </w:rPr>
        <w:t>Enroll more Texans in a comprehensive health coverage option and reduce the number of uninsured.</w:t>
      </w:r>
    </w:p>
    <w:p w14:paraId="1656FF4D" w14:textId="74CE4FB1" w:rsidR="00314A66" w:rsidRPr="007E7FF3" w:rsidRDefault="00314A66" w:rsidP="00314A66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Since the inception of the Affordable Care Act, Texas hospitals have supported and led efforts to address </w:t>
      </w:r>
      <w:r w:rsidR="008F394B" w:rsidRPr="007E7FF3">
        <w:rPr>
          <w:rFonts w:cstheme="minorHAnsi"/>
          <w:color w:val="000000" w:themeColor="text1"/>
        </w:rPr>
        <w:t>Texas’</w:t>
      </w:r>
      <w:r w:rsidRPr="007E7FF3">
        <w:rPr>
          <w:rFonts w:cstheme="minorHAnsi"/>
          <w:color w:val="000000" w:themeColor="text1"/>
        </w:rPr>
        <w:t xml:space="preserve"> high number of uninsured </w:t>
      </w:r>
      <w:r w:rsidR="008F394B" w:rsidRPr="007E7FF3">
        <w:rPr>
          <w:rFonts w:cstheme="minorHAnsi"/>
          <w:color w:val="000000" w:themeColor="text1"/>
        </w:rPr>
        <w:t>residents</w:t>
      </w:r>
      <w:r w:rsidRPr="007E7FF3">
        <w:rPr>
          <w:rFonts w:cstheme="minorHAnsi"/>
          <w:color w:val="000000" w:themeColor="text1"/>
        </w:rPr>
        <w:t>, either through Medicaid expansion or subsidies for enrollment in the private insurance marketplace.</w:t>
      </w:r>
    </w:p>
    <w:p w14:paraId="0CD39A98" w14:textId="5D149DE8" w:rsidR="00FD45F9" w:rsidRPr="007E7FF3" w:rsidRDefault="00314A66" w:rsidP="00FD45F9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Comprehensive coverage </w:t>
      </w:r>
      <w:r w:rsidR="00315373" w:rsidRPr="007E7FF3">
        <w:rPr>
          <w:rFonts w:cstheme="minorHAnsi"/>
          <w:color w:val="000000" w:themeColor="text1"/>
        </w:rPr>
        <w:t>ensure</w:t>
      </w:r>
      <w:r w:rsidR="0074030B">
        <w:rPr>
          <w:rFonts w:cstheme="minorHAnsi"/>
          <w:color w:val="000000" w:themeColor="text1"/>
        </w:rPr>
        <w:t>s</w:t>
      </w:r>
      <w:r w:rsidR="004B3666" w:rsidRPr="007E7FF3">
        <w:rPr>
          <w:rFonts w:cstheme="minorHAnsi"/>
          <w:color w:val="000000" w:themeColor="text1"/>
        </w:rPr>
        <w:t xml:space="preserve"> access for</w:t>
      </w:r>
      <w:r w:rsidR="00315373" w:rsidRPr="007E7FF3">
        <w:rPr>
          <w:rFonts w:cstheme="minorHAnsi"/>
          <w:color w:val="000000" w:themeColor="text1"/>
        </w:rPr>
        <w:t xml:space="preserve"> low wage working Texans and their families to preventive, primary and specialty care as well as</w:t>
      </w:r>
      <w:r w:rsidR="004B3666" w:rsidRPr="007E7FF3">
        <w:rPr>
          <w:rFonts w:cstheme="minorHAnsi"/>
          <w:color w:val="000000" w:themeColor="text1"/>
        </w:rPr>
        <w:t xml:space="preserve"> </w:t>
      </w:r>
      <w:r w:rsidR="00315373" w:rsidRPr="007E7FF3">
        <w:rPr>
          <w:rFonts w:cstheme="minorHAnsi"/>
          <w:color w:val="000000" w:themeColor="text1"/>
        </w:rPr>
        <w:t xml:space="preserve">chronic disease management services. </w:t>
      </w:r>
      <w:r w:rsidR="008C4C99" w:rsidRPr="007E7FF3">
        <w:rPr>
          <w:rFonts w:cstheme="minorHAnsi"/>
          <w:color w:val="000000" w:themeColor="text1"/>
        </w:rPr>
        <w:t>With b</w:t>
      </w:r>
      <w:r w:rsidR="004B3666" w:rsidRPr="007E7FF3">
        <w:rPr>
          <w:rFonts w:cstheme="minorHAnsi"/>
          <w:color w:val="000000" w:themeColor="text1"/>
        </w:rPr>
        <w:t>etter access to community-based services</w:t>
      </w:r>
      <w:r w:rsidR="008C4C99" w:rsidRPr="007E7FF3">
        <w:rPr>
          <w:rFonts w:cstheme="minorHAnsi"/>
          <w:color w:val="000000" w:themeColor="text1"/>
        </w:rPr>
        <w:t>, more Texans will be healthier and productive, which supports the state economy. H</w:t>
      </w:r>
      <w:r w:rsidR="00E635C6" w:rsidRPr="007E7FF3">
        <w:rPr>
          <w:rFonts w:cstheme="minorHAnsi"/>
          <w:color w:val="000000" w:themeColor="text1"/>
        </w:rPr>
        <w:t>ospital care is reserved for the sickest patients</w:t>
      </w:r>
      <w:r w:rsidR="008C4C99" w:rsidRPr="007E7FF3">
        <w:rPr>
          <w:rFonts w:cstheme="minorHAnsi"/>
          <w:color w:val="000000" w:themeColor="text1"/>
        </w:rPr>
        <w:t>.</w:t>
      </w:r>
    </w:p>
    <w:p w14:paraId="77FEE280" w14:textId="5ED53C63" w:rsidR="00FD45F9" w:rsidRPr="007E7FF3" w:rsidRDefault="00314A66" w:rsidP="00EF1E1F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 xml:space="preserve">Texas needs both coverage expansion </w:t>
      </w:r>
      <w:r w:rsidRPr="007E7FF3">
        <w:rPr>
          <w:rFonts w:cstheme="minorHAnsi"/>
          <w:b/>
          <w:bCs/>
          <w:color w:val="000000" w:themeColor="text1"/>
          <w:u w:val="single"/>
        </w:rPr>
        <w:t>and</w:t>
      </w:r>
      <w:r w:rsidRPr="007E7FF3">
        <w:rPr>
          <w:rFonts w:cstheme="minorHAnsi"/>
          <w:color w:val="000000" w:themeColor="text1"/>
        </w:rPr>
        <w:t xml:space="preserve"> a strong waiver </w:t>
      </w:r>
      <w:r w:rsidR="00324AAE" w:rsidRPr="007E7FF3">
        <w:rPr>
          <w:rFonts w:cstheme="minorHAnsi"/>
          <w:color w:val="000000" w:themeColor="text1"/>
        </w:rPr>
        <w:t>to meet the</w:t>
      </w:r>
      <w:r w:rsidR="00157242" w:rsidRPr="007E7FF3">
        <w:rPr>
          <w:rFonts w:cstheme="minorHAnsi"/>
          <w:color w:val="000000" w:themeColor="text1"/>
        </w:rPr>
        <w:t xml:space="preserve"> unique</w:t>
      </w:r>
      <w:r w:rsidR="00324AAE" w:rsidRPr="007E7FF3">
        <w:rPr>
          <w:rFonts w:cstheme="minorHAnsi"/>
          <w:color w:val="000000" w:themeColor="text1"/>
        </w:rPr>
        <w:t xml:space="preserve"> health care needs of a growing population. </w:t>
      </w:r>
      <w:r w:rsidR="00157E81" w:rsidRPr="007E7FF3">
        <w:rPr>
          <w:rFonts w:cstheme="minorHAnsi"/>
          <w:color w:val="000000" w:themeColor="text1"/>
        </w:rPr>
        <w:t>Texas is too large and demographically diverse for a one-size-fits-</w:t>
      </w:r>
      <w:r w:rsidR="00543904" w:rsidRPr="007E7FF3">
        <w:rPr>
          <w:rFonts w:cstheme="minorHAnsi"/>
          <w:color w:val="000000" w:themeColor="text1"/>
        </w:rPr>
        <w:t xml:space="preserve">all </w:t>
      </w:r>
      <w:r w:rsidR="00157E81" w:rsidRPr="007E7FF3">
        <w:rPr>
          <w:rFonts w:cstheme="minorHAnsi"/>
          <w:color w:val="000000" w:themeColor="text1"/>
        </w:rPr>
        <w:t xml:space="preserve">health care approach. </w:t>
      </w:r>
      <w:r w:rsidR="00360C55" w:rsidRPr="007E7FF3">
        <w:rPr>
          <w:rFonts w:cstheme="minorHAnsi"/>
          <w:color w:val="000000" w:themeColor="text1"/>
        </w:rPr>
        <w:t xml:space="preserve">A 2018 report by the Urban Institute </w:t>
      </w:r>
      <w:r w:rsidR="00954625" w:rsidRPr="007E7FF3">
        <w:rPr>
          <w:rFonts w:cstheme="minorHAnsi"/>
          <w:color w:val="000000" w:themeColor="text1"/>
        </w:rPr>
        <w:t>estimated</w:t>
      </w:r>
      <w:r w:rsidR="00360C55" w:rsidRPr="007E7FF3">
        <w:rPr>
          <w:rFonts w:cstheme="minorHAnsi"/>
          <w:color w:val="000000" w:themeColor="text1"/>
        </w:rPr>
        <w:t xml:space="preserve"> that </w:t>
      </w:r>
      <w:r w:rsidR="00E53E3B" w:rsidRPr="007E7FF3">
        <w:rPr>
          <w:rFonts w:cstheme="minorHAnsi"/>
          <w:color w:val="000000" w:themeColor="text1"/>
        </w:rPr>
        <w:t>1.6 million or 34% of Texas’ uninsured population were noncitizens</w:t>
      </w:r>
      <w:r w:rsidR="003D5529" w:rsidRPr="007E7FF3">
        <w:rPr>
          <w:rFonts w:cstheme="minorHAnsi"/>
          <w:color w:val="000000" w:themeColor="text1"/>
        </w:rPr>
        <w:t xml:space="preserve">. These individuals </w:t>
      </w:r>
      <w:r w:rsidR="00E53E3B" w:rsidRPr="007E7FF3">
        <w:rPr>
          <w:rFonts w:cstheme="minorHAnsi"/>
          <w:color w:val="000000" w:themeColor="text1"/>
        </w:rPr>
        <w:t xml:space="preserve">would not qualify for </w:t>
      </w:r>
      <w:r w:rsidR="00FD45F9" w:rsidRPr="007E7FF3">
        <w:rPr>
          <w:rFonts w:eastAsia="Times New Roman"/>
          <w:color w:val="000000" w:themeColor="text1"/>
        </w:rPr>
        <w:t xml:space="preserve">Medicaid or subsidized marketplace insurance unless they </w:t>
      </w:r>
      <w:r w:rsidR="0059627B" w:rsidRPr="007E7FF3">
        <w:rPr>
          <w:rFonts w:eastAsia="Times New Roman"/>
          <w:color w:val="000000" w:themeColor="text1"/>
        </w:rPr>
        <w:t>are lawfully present and</w:t>
      </w:r>
      <w:r w:rsidR="00FD45F9" w:rsidRPr="007E7FF3">
        <w:rPr>
          <w:rFonts w:eastAsia="Times New Roman"/>
          <w:color w:val="000000" w:themeColor="text1"/>
        </w:rPr>
        <w:t xml:space="preserve"> </w:t>
      </w:r>
      <w:r w:rsidR="0059627B" w:rsidRPr="007E7FF3">
        <w:rPr>
          <w:rFonts w:eastAsia="Times New Roman"/>
          <w:color w:val="000000" w:themeColor="text1"/>
        </w:rPr>
        <w:t xml:space="preserve">meet </w:t>
      </w:r>
      <w:r w:rsidR="00697954" w:rsidRPr="007E7FF3">
        <w:rPr>
          <w:rFonts w:eastAsia="Times New Roman"/>
          <w:color w:val="000000" w:themeColor="text1"/>
        </w:rPr>
        <w:t>special qualifying conditions</w:t>
      </w:r>
      <w:r w:rsidR="00B16CBC" w:rsidRPr="007E7FF3">
        <w:rPr>
          <w:rFonts w:eastAsia="Times New Roman"/>
          <w:color w:val="000000" w:themeColor="text1"/>
        </w:rPr>
        <w:t>.</w:t>
      </w:r>
    </w:p>
    <w:p w14:paraId="01A9A7C6" w14:textId="3CB5CB55" w:rsidR="008D7587" w:rsidRPr="007E7FF3" w:rsidRDefault="00314A66" w:rsidP="00656898">
      <w:pPr>
        <w:pStyle w:val="ListParagraph"/>
        <w:numPr>
          <w:ilvl w:val="1"/>
          <w:numId w:val="1"/>
        </w:numPr>
        <w:spacing w:after="160" w:line="259" w:lineRule="auto"/>
        <w:rPr>
          <w:rFonts w:cstheme="minorHAnsi"/>
          <w:color w:val="000000" w:themeColor="text1"/>
        </w:rPr>
      </w:pPr>
      <w:r w:rsidRPr="007E7FF3">
        <w:rPr>
          <w:rFonts w:cstheme="minorHAnsi"/>
          <w:color w:val="000000" w:themeColor="text1"/>
        </w:rPr>
        <w:t>The waiver extension provided predictability and resources needed to sustain providers delivering care to Medicaid</w:t>
      </w:r>
      <w:r w:rsidR="00FC4ECF" w:rsidRPr="007E7FF3">
        <w:rPr>
          <w:rFonts w:cstheme="minorHAnsi"/>
          <w:color w:val="000000" w:themeColor="text1"/>
        </w:rPr>
        <w:t xml:space="preserve"> clients</w:t>
      </w:r>
      <w:r w:rsidRPr="007E7FF3">
        <w:rPr>
          <w:rFonts w:cstheme="minorHAnsi"/>
          <w:color w:val="000000" w:themeColor="text1"/>
        </w:rPr>
        <w:t xml:space="preserve"> as well as Texans who would remain uninsured even under a robust coverage expansion. </w:t>
      </w:r>
    </w:p>
    <w:p w14:paraId="27A71391" w14:textId="6F736C60" w:rsidR="00737BD4" w:rsidRPr="007E7FF3" w:rsidRDefault="00BB15DA" w:rsidP="00F44B32">
      <w:pPr>
        <w:rPr>
          <w:color w:val="000000" w:themeColor="text1"/>
          <w:szCs w:val="22"/>
        </w:rPr>
      </w:pPr>
      <w:r w:rsidRPr="007E7FF3">
        <w:rPr>
          <w:color w:val="000000" w:themeColor="text1"/>
          <w:szCs w:val="22"/>
        </w:rPr>
        <w:t xml:space="preserve">We appreciate CMS’s consideration of waiver extension priorities that </w:t>
      </w:r>
      <w:r w:rsidR="002B6CE9">
        <w:rPr>
          <w:color w:val="000000" w:themeColor="text1"/>
          <w:szCs w:val="22"/>
        </w:rPr>
        <w:t>will ensure a high quality, sustainable health safety net</w:t>
      </w:r>
      <w:r w:rsidRPr="007E7FF3">
        <w:rPr>
          <w:color w:val="000000" w:themeColor="text1"/>
          <w:szCs w:val="22"/>
        </w:rPr>
        <w:t xml:space="preserve">. </w:t>
      </w:r>
      <w:r w:rsidR="00657ECB">
        <w:rPr>
          <w:color w:val="000000" w:themeColor="text1"/>
          <w:szCs w:val="22"/>
        </w:rPr>
        <w:t>Prompt reapproval of Texas’ waiver extension application</w:t>
      </w:r>
      <w:r w:rsidR="00D0714A">
        <w:rPr>
          <w:color w:val="000000" w:themeColor="text1"/>
          <w:szCs w:val="22"/>
        </w:rPr>
        <w:t>, with an</w:t>
      </w:r>
      <w:r w:rsidR="0074146A" w:rsidRPr="007E7FF3">
        <w:rPr>
          <w:color w:val="000000" w:themeColor="text1"/>
          <w:szCs w:val="22"/>
        </w:rPr>
        <w:t xml:space="preserve"> equivalent or better </w:t>
      </w:r>
      <w:r w:rsidR="00A2471D" w:rsidRPr="007E7FF3">
        <w:rPr>
          <w:color w:val="000000" w:themeColor="text1"/>
          <w:szCs w:val="22"/>
        </w:rPr>
        <w:t xml:space="preserve">budget neutrality </w:t>
      </w:r>
      <w:r w:rsidR="00DB2200" w:rsidRPr="007E7FF3">
        <w:rPr>
          <w:color w:val="000000" w:themeColor="text1"/>
          <w:szCs w:val="22"/>
        </w:rPr>
        <w:t xml:space="preserve">calculation and strong </w:t>
      </w:r>
      <w:r w:rsidR="0093290D">
        <w:rPr>
          <w:color w:val="000000" w:themeColor="text1"/>
          <w:szCs w:val="22"/>
        </w:rPr>
        <w:t>uncompensated care</w:t>
      </w:r>
      <w:r w:rsidR="00DB2200" w:rsidRPr="007E7FF3">
        <w:rPr>
          <w:color w:val="000000" w:themeColor="text1"/>
          <w:szCs w:val="22"/>
        </w:rPr>
        <w:t xml:space="preserve"> pool</w:t>
      </w:r>
      <w:r w:rsidR="002E463F" w:rsidRPr="007E7FF3">
        <w:rPr>
          <w:color w:val="000000" w:themeColor="text1"/>
          <w:szCs w:val="22"/>
        </w:rPr>
        <w:t>s</w:t>
      </w:r>
      <w:r w:rsidR="00D0714A">
        <w:rPr>
          <w:color w:val="000000" w:themeColor="text1"/>
          <w:szCs w:val="22"/>
        </w:rPr>
        <w:t>,</w:t>
      </w:r>
      <w:r w:rsidR="00DB2200" w:rsidRPr="007E7FF3">
        <w:rPr>
          <w:color w:val="000000" w:themeColor="text1"/>
          <w:szCs w:val="22"/>
        </w:rPr>
        <w:t xml:space="preserve"> </w:t>
      </w:r>
      <w:r w:rsidR="00D0714A">
        <w:rPr>
          <w:color w:val="000000" w:themeColor="text1"/>
          <w:szCs w:val="22"/>
        </w:rPr>
        <w:t>is</w:t>
      </w:r>
      <w:r w:rsidR="00DB2200" w:rsidRPr="007E7FF3">
        <w:rPr>
          <w:color w:val="000000" w:themeColor="text1"/>
          <w:szCs w:val="22"/>
        </w:rPr>
        <w:t xml:space="preserve"> cr</w:t>
      </w:r>
      <w:r w:rsidR="00A2471D" w:rsidRPr="007E7FF3">
        <w:rPr>
          <w:color w:val="000000" w:themeColor="text1"/>
          <w:szCs w:val="22"/>
        </w:rPr>
        <w:t xml:space="preserve">itical to providers’ ability to plan for the future and ensure access to care. </w:t>
      </w:r>
      <w:bookmarkStart w:id="0" w:name="_GoBack"/>
      <w:bookmarkEnd w:id="0"/>
      <w:r w:rsidR="002E463F" w:rsidRPr="007E7FF3">
        <w:rPr>
          <w:color w:val="000000" w:themeColor="text1"/>
          <w:szCs w:val="22"/>
        </w:rPr>
        <w:t xml:space="preserve">Thank you again for your </w:t>
      </w:r>
      <w:r w:rsidR="0074146A" w:rsidRPr="007E7FF3">
        <w:rPr>
          <w:color w:val="000000" w:themeColor="text1"/>
          <w:szCs w:val="22"/>
        </w:rPr>
        <w:t xml:space="preserve">favorable consideration of Texas’ waiver extension request and </w:t>
      </w:r>
      <w:r w:rsidR="004B4BFB" w:rsidRPr="007E7FF3">
        <w:rPr>
          <w:color w:val="000000" w:themeColor="text1"/>
          <w:szCs w:val="22"/>
        </w:rPr>
        <w:t xml:space="preserve">commitment to </w:t>
      </w:r>
      <w:r w:rsidR="00E763C1">
        <w:rPr>
          <w:color w:val="000000" w:themeColor="text1"/>
          <w:szCs w:val="22"/>
        </w:rPr>
        <w:t>protecting</w:t>
      </w:r>
      <w:r w:rsidR="00656898" w:rsidRPr="007E7FF3">
        <w:rPr>
          <w:color w:val="000000" w:themeColor="text1"/>
          <w:szCs w:val="22"/>
        </w:rPr>
        <w:t xml:space="preserve"> the health of all Texans.</w:t>
      </w:r>
    </w:p>
    <w:p w14:paraId="63090AAE" w14:textId="77777777" w:rsidR="00737BD4" w:rsidRPr="007E7FF3" w:rsidRDefault="00737BD4" w:rsidP="00656898">
      <w:pPr>
        <w:rPr>
          <w:rFonts w:eastAsia="Times New Roman" w:cs="Calibri"/>
          <w:color w:val="000000" w:themeColor="text1"/>
          <w:szCs w:val="22"/>
        </w:rPr>
      </w:pPr>
    </w:p>
    <w:p w14:paraId="413D0370" w14:textId="3EFBC476" w:rsidR="00656898" w:rsidRPr="007E7FF3" w:rsidRDefault="00656898" w:rsidP="00CB08D7">
      <w:pPr>
        <w:rPr>
          <w:rFonts w:eastAsia="Times New Roman" w:cs="Calibri"/>
          <w:color w:val="000000" w:themeColor="text1"/>
          <w:szCs w:val="22"/>
        </w:rPr>
      </w:pPr>
      <w:r w:rsidRPr="007E7FF3">
        <w:rPr>
          <w:rFonts w:eastAsia="Times New Roman" w:cs="Calibri"/>
          <w:color w:val="000000" w:themeColor="text1"/>
          <w:szCs w:val="22"/>
        </w:rPr>
        <w:t>Sincerely, </w:t>
      </w:r>
    </w:p>
    <w:p w14:paraId="5CB9BE78" w14:textId="20C1C791" w:rsidR="00656898" w:rsidRPr="007E7FF3" w:rsidRDefault="00656898" w:rsidP="00656898">
      <w:pPr>
        <w:shd w:val="clear" w:color="auto" w:fill="FFFFFF"/>
        <w:spacing w:before="100" w:beforeAutospacing="1" w:after="100" w:afterAutospacing="1"/>
        <w:contextualSpacing/>
        <w:rPr>
          <w:rFonts w:ascii="FreightSans Pro Light" w:hAnsi="FreightSans Pro Light" w:cs="Times New Roman"/>
          <w:color w:val="000000" w:themeColor="text1"/>
          <w:szCs w:val="22"/>
        </w:rPr>
      </w:pPr>
    </w:p>
    <w:p w14:paraId="5985FAE0" w14:textId="464607BD" w:rsidR="003F246A" w:rsidRPr="007E7FF3" w:rsidRDefault="00AD1958">
      <w:pPr>
        <w:rPr>
          <w:color w:val="000000" w:themeColor="text1"/>
          <w:szCs w:val="22"/>
        </w:rPr>
      </w:pPr>
    </w:p>
    <w:p w14:paraId="07A3A9B7" w14:textId="2D101535" w:rsidR="003A0A2F" w:rsidRPr="007E7FF3" w:rsidRDefault="003A0A2F">
      <w:pPr>
        <w:rPr>
          <w:color w:val="000000" w:themeColor="text1"/>
          <w:szCs w:val="22"/>
          <w:highlight w:val="yellow"/>
        </w:rPr>
      </w:pPr>
      <w:r w:rsidRPr="007E7FF3">
        <w:rPr>
          <w:color w:val="000000" w:themeColor="text1"/>
          <w:szCs w:val="22"/>
          <w:highlight w:val="yellow"/>
        </w:rPr>
        <w:t xml:space="preserve">Name </w:t>
      </w:r>
    </w:p>
    <w:p w14:paraId="5D0A6679" w14:textId="5032D4EB" w:rsidR="003A0A2F" w:rsidRPr="007E7FF3" w:rsidRDefault="003A0A2F">
      <w:pPr>
        <w:rPr>
          <w:color w:val="000000" w:themeColor="text1"/>
          <w:szCs w:val="22"/>
          <w:highlight w:val="yellow"/>
        </w:rPr>
      </w:pPr>
      <w:r w:rsidRPr="007E7FF3">
        <w:rPr>
          <w:color w:val="000000" w:themeColor="text1"/>
          <w:szCs w:val="22"/>
          <w:highlight w:val="yellow"/>
        </w:rPr>
        <w:t xml:space="preserve">Title </w:t>
      </w:r>
    </w:p>
    <w:p w14:paraId="491F18F5" w14:textId="5A8794B1" w:rsidR="003A0A2F" w:rsidRPr="007E7FF3" w:rsidRDefault="00FD5C26">
      <w:pPr>
        <w:rPr>
          <w:color w:val="000000" w:themeColor="text1"/>
          <w:szCs w:val="22"/>
        </w:rPr>
      </w:pPr>
      <w:r w:rsidRPr="007E7FF3">
        <w:rPr>
          <w:color w:val="000000" w:themeColor="text1"/>
          <w:szCs w:val="22"/>
          <w:highlight w:val="yellow"/>
        </w:rPr>
        <w:t>Hospital/health system name</w:t>
      </w:r>
      <w:r w:rsidRPr="007E7FF3">
        <w:rPr>
          <w:color w:val="000000" w:themeColor="text1"/>
          <w:szCs w:val="22"/>
        </w:rPr>
        <w:t xml:space="preserve"> </w:t>
      </w:r>
    </w:p>
    <w:sectPr w:rsidR="003A0A2F" w:rsidRPr="007E7FF3" w:rsidSect="00EF1531">
      <w:headerReference w:type="default" r:id="rId10"/>
      <w:footerReference w:type="default" r:id="rId11"/>
      <w:pgSz w:w="12240" w:h="15840"/>
      <w:pgMar w:top="1152" w:right="1152" w:bottom="1152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F2128" w14:textId="77777777" w:rsidR="009C000F" w:rsidRDefault="009C000F">
      <w:r>
        <w:separator/>
      </w:r>
    </w:p>
  </w:endnote>
  <w:endnote w:type="continuationSeparator" w:id="0">
    <w:p w14:paraId="0393B192" w14:textId="77777777" w:rsidR="009C000F" w:rsidRDefault="009C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ightSans Pro Book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FreightSans Pro Medium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Light">
    <w:altName w:val="Calibri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8DAA0" w14:textId="77777777" w:rsidR="007B536B" w:rsidRDefault="003C1E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A01C0" wp14:editId="17F1EFA1">
              <wp:simplePos x="0" y="0"/>
              <wp:positionH relativeFrom="column">
                <wp:posOffset>-396240</wp:posOffset>
              </wp:positionH>
              <wp:positionV relativeFrom="paragraph">
                <wp:posOffset>197677</wp:posOffset>
              </wp:positionV>
              <wp:extent cx="7124700" cy="685165"/>
              <wp:effectExtent l="0" t="0" r="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700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D130FE" w14:textId="77777777" w:rsidR="007B536B" w:rsidRDefault="00AD1958" w:rsidP="00EA672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A01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1.2pt;margin-top:15.55pt;width:561pt;height:5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" filled="f" stroked="f">
              <v:textbox>
                <w:txbxContent>
                  <w:p w14:paraId="63D130FE" w14:textId="77777777" w:rsidR="007B536B" w:rsidRDefault="009C000F" w:rsidP="00EA672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8B225" w14:textId="77777777" w:rsidR="009C000F" w:rsidRDefault="009C000F">
      <w:r>
        <w:separator/>
      </w:r>
    </w:p>
  </w:footnote>
  <w:footnote w:type="continuationSeparator" w:id="0">
    <w:p w14:paraId="54C6A762" w14:textId="77777777" w:rsidR="009C000F" w:rsidRDefault="009C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3A95" w14:textId="77777777" w:rsidR="007B536B" w:rsidRDefault="00AD1958" w:rsidP="00D822E0">
    <w:pPr>
      <w:pStyle w:val="Header"/>
      <w:tabs>
        <w:tab w:val="left" w:pos="6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559"/>
    <w:multiLevelType w:val="hybridMultilevel"/>
    <w:tmpl w:val="C946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31CD"/>
    <w:multiLevelType w:val="hybridMultilevel"/>
    <w:tmpl w:val="91DE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F147D"/>
    <w:multiLevelType w:val="hybridMultilevel"/>
    <w:tmpl w:val="80268EFE"/>
    <w:lvl w:ilvl="0" w:tplc="32264E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98"/>
    <w:rsid w:val="000015AC"/>
    <w:rsid w:val="00002306"/>
    <w:rsid w:val="0000502F"/>
    <w:rsid w:val="00016836"/>
    <w:rsid w:val="0001723C"/>
    <w:rsid w:val="0004437B"/>
    <w:rsid w:val="0005096B"/>
    <w:rsid w:val="00053B0D"/>
    <w:rsid w:val="0005724F"/>
    <w:rsid w:val="0006095F"/>
    <w:rsid w:val="00063FC6"/>
    <w:rsid w:val="00072CC2"/>
    <w:rsid w:val="0007385D"/>
    <w:rsid w:val="00073CE4"/>
    <w:rsid w:val="000B336D"/>
    <w:rsid w:val="000F1E86"/>
    <w:rsid w:val="000F2BCF"/>
    <w:rsid w:val="000F707B"/>
    <w:rsid w:val="000F7D94"/>
    <w:rsid w:val="00102986"/>
    <w:rsid w:val="0011250E"/>
    <w:rsid w:val="0011520F"/>
    <w:rsid w:val="00144ADE"/>
    <w:rsid w:val="0015515C"/>
    <w:rsid w:val="00157242"/>
    <w:rsid w:val="00157E81"/>
    <w:rsid w:val="00164503"/>
    <w:rsid w:val="00171C7A"/>
    <w:rsid w:val="00172B60"/>
    <w:rsid w:val="00177719"/>
    <w:rsid w:val="00177F1E"/>
    <w:rsid w:val="001830AF"/>
    <w:rsid w:val="001870D4"/>
    <w:rsid w:val="001877EC"/>
    <w:rsid w:val="00193F95"/>
    <w:rsid w:val="001A2292"/>
    <w:rsid w:val="001B60D3"/>
    <w:rsid w:val="001D17E2"/>
    <w:rsid w:val="001D4C5D"/>
    <w:rsid w:val="001E28F1"/>
    <w:rsid w:val="001E2B3A"/>
    <w:rsid w:val="001E40A7"/>
    <w:rsid w:val="00211C43"/>
    <w:rsid w:val="002243CC"/>
    <w:rsid w:val="00232798"/>
    <w:rsid w:val="00236346"/>
    <w:rsid w:val="00236A19"/>
    <w:rsid w:val="0026447E"/>
    <w:rsid w:val="002813DE"/>
    <w:rsid w:val="00283632"/>
    <w:rsid w:val="00292053"/>
    <w:rsid w:val="00292C9A"/>
    <w:rsid w:val="002A0E34"/>
    <w:rsid w:val="002A23F4"/>
    <w:rsid w:val="002A5EBF"/>
    <w:rsid w:val="002A7E5E"/>
    <w:rsid w:val="002B65E8"/>
    <w:rsid w:val="002B6CE9"/>
    <w:rsid w:val="002B7B66"/>
    <w:rsid w:val="002D17D2"/>
    <w:rsid w:val="002D310D"/>
    <w:rsid w:val="002E463F"/>
    <w:rsid w:val="002E7373"/>
    <w:rsid w:val="002F104E"/>
    <w:rsid w:val="00314A66"/>
    <w:rsid w:val="00315373"/>
    <w:rsid w:val="00324AAE"/>
    <w:rsid w:val="00331E4A"/>
    <w:rsid w:val="00333D27"/>
    <w:rsid w:val="003374F8"/>
    <w:rsid w:val="003508D5"/>
    <w:rsid w:val="00360C55"/>
    <w:rsid w:val="00361448"/>
    <w:rsid w:val="00363FEF"/>
    <w:rsid w:val="00386ADF"/>
    <w:rsid w:val="0039075C"/>
    <w:rsid w:val="00392E98"/>
    <w:rsid w:val="00394217"/>
    <w:rsid w:val="003A0A2F"/>
    <w:rsid w:val="003A3858"/>
    <w:rsid w:val="003A78CA"/>
    <w:rsid w:val="003C0F2E"/>
    <w:rsid w:val="003C1E07"/>
    <w:rsid w:val="003D2059"/>
    <w:rsid w:val="003D5529"/>
    <w:rsid w:val="003E3927"/>
    <w:rsid w:val="003F0757"/>
    <w:rsid w:val="003F3F8D"/>
    <w:rsid w:val="004036F5"/>
    <w:rsid w:val="00426975"/>
    <w:rsid w:val="00427975"/>
    <w:rsid w:val="00433807"/>
    <w:rsid w:val="0043778F"/>
    <w:rsid w:val="0044062C"/>
    <w:rsid w:val="00444800"/>
    <w:rsid w:val="00475F76"/>
    <w:rsid w:val="00480376"/>
    <w:rsid w:val="00483D93"/>
    <w:rsid w:val="00491495"/>
    <w:rsid w:val="00495DFB"/>
    <w:rsid w:val="004B3666"/>
    <w:rsid w:val="004B4BFB"/>
    <w:rsid w:val="004D1DB2"/>
    <w:rsid w:val="004D69EF"/>
    <w:rsid w:val="004D769F"/>
    <w:rsid w:val="004E548B"/>
    <w:rsid w:val="004F37F8"/>
    <w:rsid w:val="004F40F1"/>
    <w:rsid w:val="00516465"/>
    <w:rsid w:val="00520A6E"/>
    <w:rsid w:val="00532B02"/>
    <w:rsid w:val="00543904"/>
    <w:rsid w:val="005448D4"/>
    <w:rsid w:val="00561CC2"/>
    <w:rsid w:val="00573C78"/>
    <w:rsid w:val="005761F4"/>
    <w:rsid w:val="00586FA4"/>
    <w:rsid w:val="00586FBD"/>
    <w:rsid w:val="00591785"/>
    <w:rsid w:val="005917FD"/>
    <w:rsid w:val="00593DBE"/>
    <w:rsid w:val="005952A8"/>
    <w:rsid w:val="0059627B"/>
    <w:rsid w:val="0059744F"/>
    <w:rsid w:val="005A0918"/>
    <w:rsid w:val="005A2911"/>
    <w:rsid w:val="005A5339"/>
    <w:rsid w:val="005C3921"/>
    <w:rsid w:val="005D0F35"/>
    <w:rsid w:val="005D7714"/>
    <w:rsid w:val="00604985"/>
    <w:rsid w:val="00607EED"/>
    <w:rsid w:val="00611232"/>
    <w:rsid w:val="0061227C"/>
    <w:rsid w:val="00615CEE"/>
    <w:rsid w:val="006341EE"/>
    <w:rsid w:val="00636607"/>
    <w:rsid w:val="00643A0F"/>
    <w:rsid w:val="00645825"/>
    <w:rsid w:val="00653984"/>
    <w:rsid w:val="00656898"/>
    <w:rsid w:val="00657A01"/>
    <w:rsid w:val="00657ECB"/>
    <w:rsid w:val="006679CE"/>
    <w:rsid w:val="0067378F"/>
    <w:rsid w:val="0067596D"/>
    <w:rsid w:val="00682B54"/>
    <w:rsid w:val="00686AED"/>
    <w:rsid w:val="00697954"/>
    <w:rsid w:val="006B130F"/>
    <w:rsid w:val="006B2ACB"/>
    <w:rsid w:val="006B60F9"/>
    <w:rsid w:val="006C2AF0"/>
    <w:rsid w:val="006D1691"/>
    <w:rsid w:val="006D2F8B"/>
    <w:rsid w:val="006D7043"/>
    <w:rsid w:val="006E31AD"/>
    <w:rsid w:val="006F492B"/>
    <w:rsid w:val="006F6AB0"/>
    <w:rsid w:val="006F7174"/>
    <w:rsid w:val="00706BD0"/>
    <w:rsid w:val="007202A4"/>
    <w:rsid w:val="00737BD4"/>
    <w:rsid w:val="0074030B"/>
    <w:rsid w:val="0074146A"/>
    <w:rsid w:val="00753B0C"/>
    <w:rsid w:val="00760808"/>
    <w:rsid w:val="00770B34"/>
    <w:rsid w:val="00773A6F"/>
    <w:rsid w:val="00774155"/>
    <w:rsid w:val="00776E11"/>
    <w:rsid w:val="007778E4"/>
    <w:rsid w:val="007812B8"/>
    <w:rsid w:val="00783B21"/>
    <w:rsid w:val="007863D5"/>
    <w:rsid w:val="007872D2"/>
    <w:rsid w:val="007916CD"/>
    <w:rsid w:val="00791A85"/>
    <w:rsid w:val="007930DC"/>
    <w:rsid w:val="00795EC8"/>
    <w:rsid w:val="007A53A6"/>
    <w:rsid w:val="007B1176"/>
    <w:rsid w:val="007B4DAE"/>
    <w:rsid w:val="007B69BC"/>
    <w:rsid w:val="007D0223"/>
    <w:rsid w:val="007D0A27"/>
    <w:rsid w:val="007E058E"/>
    <w:rsid w:val="007E6B54"/>
    <w:rsid w:val="007E7FF3"/>
    <w:rsid w:val="007F5E73"/>
    <w:rsid w:val="0080125C"/>
    <w:rsid w:val="008055CF"/>
    <w:rsid w:val="00832FBD"/>
    <w:rsid w:val="00835D75"/>
    <w:rsid w:val="00843607"/>
    <w:rsid w:val="00850FEF"/>
    <w:rsid w:val="00854A5A"/>
    <w:rsid w:val="008616EC"/>
    <w:rsid w:val="00865F8D"/>
    <w:rsid w:val="008701D1"/>
    <w:rsid w:val="008707F8"/>
    <w:rsid w:val="00877191"/>
    <w:rsid w:val="008822BA"/>
    <w:rsid w:val="00885787"/>
    <w:rsid w:val="00885DA4"/>
    <w:rsid w:val="008A1151"/>
    <w:rsid w:val="008A3A50"/>
    <w:rsid w:val="008B59D9"/>
    <w:rsid w:val="008C032E"/>
    <w:rsid w:val="008C322A"/>
    <w:rsid w:val="008C4C99"/>
    <w:rsid w:val="008C4F2D"/>
    <w:rsid w:val="008D15DC"/>
    <w:rsid w:val="008D7587"/>
    <w:rsid w:val="008F0562"/>
    <w:rsid w:val="008F394B"/>
    <w:rsid w:val="008F4184"/>
    <w:rsid w:val="00900F55"/>
    <w:rsid w:val="00901161"/>
    <w:rsid w:val="009226B8"/>
    <w:rsid w:val="00927BFB"/>
    <w:rsid w:val="0093290D"/>
    <w:rsid w:val="00932B85"/>
    <w:rsid w:val="009340EA"/>
    <w:rsid w:val="009375C8"/>
    <w:rsid w:val="00954625"/>
    <w:rsid w:val="00956473"/>
    <w:rsid w:val="00956F42"/>
    <w:rsid w:val="00956F97"/>
    <w:rsid w:val="00961661"/>
    <w:rsid w:val="00965132"/>
    <w:rsid w:val="00973B4C"/>
    <w:rsid w:val="00975BA2"/>
    <w:rsid w:val="00984EA2"/>
    <w:rsid w:val="009918BA"/>
    <w:rsid w:val="009A179D"/>
    <w:rsid w:val="009A1D11"/>
    <w:rsid w:val="009C000F"/>
    <w:rsid w:val="009D1BE9"/>
    <w:rsid w:val="009F6FD3"/>
    <w:rsid w:val="00A026C6"/>
    <w:rsid w:val="00A20138"/>
    <w:rsid w:val="00A2471D"/>
    <w:rsid w:val="00A26D77"/>
    <w:rsid w:val="00A37595"/>
    <w:rsid w:val="00A521E8"/>
    <w:rsid w:val="00A53986"/>
    <w:rsid w:val="00A56CE9"/>
    <w:rsid w:val="00A61DE9"/>
    <w:rsid w:val="00A63C48"/>
    <w:rsid w:val="00A66721"/>
    <w:rsid w:val="00A73F06"/>
    <w:rsid w:val="00A87EA2"/>
    <w:rsid w:val="00A97B70"/>
    <w:rsid w:val="00AA2587"/>
    <w:rsid w:val="00AB23BF"/>
    <w:rsid w:val="00AD1958"/>
    <w:rsid w:val="00AD310E"/>
    <w:rsid w:val="00AD3CF4"/>
    <w:rsid w:val="00AE478E"/>
    <w:rsid w:val="00AF0A71"/>
    <w:rsid w:val="00AF2C7F"/>
    <w:rsid w:val="00B12811"/>
    <w:rsid w:val="00B156DC"/>
    <w:rsid w:val="00B16CBC"/>
    <w:rsid w:val="00B220E7"/>
    <w:rsid w:val="00B471BD"/>
    <w:rsid w:val="00B54DA2"/>
    <w:rsid w:val="00B632BB"/>
    <w:rsid w:val="00BA43A0"/>
    <w:rsid w:val="00BA48A5"/>
    <w:rsid w:val="00BA6ADE"/>
    <w:rsid w:val="00BB15DA"/>
    <w:rsid w:val="00BB1903"/>
    <w:rsid w:val="00BC224D"/>
    <w:rsid w:val="00BC53B9"/>
    <w:rsid w:val="00BD676F"/>
    <w:rsid w:val="00BD78DF"/>
    <w:rsid w:val="00BE1F93"/>
    <w:rsid w:val="00BE2285"/>
    <w:rsid w:val="00BE6254"/>
    <w:rsid w:val="00BF11CB"/>
    <w:rsid w:val="00BF29DE"/>
    <w:rsid w:val="00C03B70"/>
    <w:rsid w:val="00C12F54"/>
    <w:rsid w:val="00C20052"/>
    <w:rsid w:val="00C20815"/>
    <w:rsid w:val="00C30174"/>
    <w:rsid w:val="00C36ABC"/>
    <w:rsid w:val="00C41CC8"/>
    <w:rsid w:val="00C41D8A"/>
    <w:rsid w:val="00C4475B"/>
    <w:rsid w:val="00C54A06"/>
    <w:rsid w:val="00C56263"/>
    <w:rsid w:val="00C617FC"/>
    <w:rsid w:val="00C92D08"/>
    <w:rsid w:val="00C93FCA"/>
    <w:rsid w:val="00C949CD"/>
    <w:rsid w:val="00C97CE2"/>
    <w:rsid w:val="00CA27CC"/>
    <w:rsid w:val="00CA2FCE"/>
    <w:rsid w:val="00CA441C"/>
    <w:rsid w:val="00CA5FA2"/>
    <w:rsid w:val="00CB08D7"/>
    <w:rsid w:val="00CC4920"/>
    <w:rsid w:val="00CC7F5B"/>
    <w:rsid w:val="00CD4492"/>
    <w:rsid w:val="00CE2C44"/>
    <w:rsid w:val="00CE6FCC"/>
    <w:rsid w:val="00CF3613"/>
    <w:rsid w:val="00D05C58"/>
    <w:rsid w:val="00D0714A"/>
    <w:rsid w:val="00D24FD9"/>
    <w:rsid w:val="00D260AB"/>
    <w:rsid w:val="00D30D9A"/>
    <w:rsid w:val="00D35FCE"/>
    <w:rsid w:val="00D55047"/>
    <w:rsid w:val="00D57DE3"/>
    <w:rsid w:val="00D77150"/>
    <w:rsid w:val="00D77A61"/>
    <w:rsid w:val="00D77DC5"/>
    <w:rsid w:val="00D8640B"/>
    <w:rsid w:val="00D9370C"/>
    <w:rsid w:val="00DA0ABC"/>
    <w:rsid w:val="00DA3122"/>
    <w:rsid w:val="00DB2200"/>
    <w:rsid w:val="00DC0867"/>
    <w:rsid w:val="00DC09DF"/>
    <w:rsid w:val="00DE031C"/>
    <w:rsid w:val="00DE3194"/>
    <w:rsid w:val="00E011A4"/>
    <w:rsid w:val="00E05284"/>
    <w:rsid w:val="00E22B4A"/>
    <w:rsid w:val="00E26D65"/>
    <w:rsid w:val="00E27779"/>
    <w:rsid w:val="00E36DAF"/>
    <w:rsid w:val="00E457AA"/>
    <w:rsid w:val="00E46372"/>
    <w:rsid w:val="00E53E3B"/>
    <w:rsid w:val="00E5487C"/>
    <w:rsid w:val="00E55323"/>
    <w:rsid w:val="00E61CC4"/>
    <w:rsid w:val="00E635C6"/>
    <w:rsid w:val="00E70695"/>
    <w:rsid w:val="00E763C1"/>
    <w:rsid w:val="00EA052D"/>
    <w:rsid w:val="00EB503E"/>
    <w:rsid w:val="00EC1918"/>
    <w:rsid w:val="00EC756C"/>
    <w:rsid w:val="00EC7AA5"/>
    <w:rsid w:val="00ED1DBB"/>
    <w:rsid w:val="00ED5318"/>
    <w:rsid w:val="00EF1E1F"/>
    <w:rsid w:val="00F16B34"/>
    <w:rsid w:val="00F21976"/>
    <w:rsid w:val="00F3123D"/>
    <w:rsid w:val="00F31EC6"/>
    <w:rsid w:val="00F44B32"/>
    <w:rsid w:val="00F60DC5"/>
    <w:rsid w:val="00F7021C"/>
    <w:rsid w:val="00F730B2"/>
    <w:rsid w:val="00F778D4"/>
    <w:rsid w:val="00F906AF"/>
    <w:rsid w:val="00F91115"/>
    <w:rsid w:val="00F9573E"/>
    <w:rsid w:val="00F96677"/>
    <w:rsid w:val="00FA1C70"/>
    <w:rsid w:val="00FA5F08"/>
    <w:rsid w:val="00FC1415"/>
    <w:rsid w:val="00FC4ECF"/>
    <w:rsid w:val="00FD45F9"/>
    <w:rsid w:val="00FD5C26"/>
    <w:rsid w:val="00FE27F1"/>
    <w:rsid w:val="00FF1D2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77E1"/>
  <w15:chartTrackingRefBased/>
  <w15:docId w15:val="{CFD3E2AD-7D6D-4B7C-BB82-08A0C810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898"/>
    <w:pPr>
      <w:spacing w:after="0" w:line="240" w:lineRule="auto"/>
    </w:pPr>
    <w:rPr>
      <w:rFonts w:ascii="FreightSans Pro Book" w:hAnsi="FreightSans Pro Book"/>
      <w:color w:val="44546A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IntenseQuote"/>
    <w:link w:val="HeaderChar"/>
    <w:uiPriority w:val="99"/>
    <w:unhideWhenUsed/>
    <w:rsid w:val="00656898"/>
    <w:pPr>
      <w:pBdr>
        <w:top w:val="none" w:sz="0" w:space="0" w:color="auto"/>
        <w:bottom w:val="none" w:sz="0" w:space="0" w:color="auto"/>
      </w:pBdr>
      <w:spacing w:before="0" w:after="0"/>
      <w:ind w:left="0" w:right="0"/>
      <w:jc w:val="left"/>
    </w:pPr>
    <w:rPr>
      <w:rFonts w:ascii="FreightSans Pro Medium" w:hAnsi="FreightSans Pro Medium"/>
      <w:i w:val="0"/>
      <w:iCs w:val="0"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656898"/>
    <w:rPr>
      <w:rFonts w:ascii="FreightSans Pro Medium" w:hAnsi="FreightSans Pro Medium"/>
      <w:color w:val="44546A" w:themeColor="text2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898"/>
    <w:rPr>
      <w:rFonts w:ascii="FreightSans Pro Book" w:hAnsi="FreightSans Pro Book"/>
      <w:color w:val="44546A" w:themeColor="text2"/>
      <w:szCs w:val="24"/>
    </w:rPr>
  </w:style>
  <w:style w:type="paragraph" w:styleId="ListParagraph">
    <w:name w:val="List Paragraph"/>
    <w:basedOn w:val="Normal"/>
    <w:uiPriority w:val="34"/>
    <w:qFormat/>
    <w:rsid w:val="00656898"/>
    <w:pPr>
      <w:ind w:left="720"/>
      <w:contextualSpacing/>
    </w:pPr>
  </w:style>
  <w:style w:type="paragraph" w:customStyle="1" w:styleId="Default">
    <w:name w:val="Default"/>
    <w:rsid w:val="00656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9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98"/>
    <w:rPr>
      <w:rFonts w:ascii="FreightSans Pro Book" w:hAnsi="FreightSans Pro Book"/>
      <w:i/>
      <w:iCs/>
      <w:color w:val="4472C4" w:themeColor="accent1"/>
      <w:szCs w:val="24"/>
    </w:rPr>
  </w:style>
  <w:style w:type="character" w:styleId="Hyperlink">
    <w:name w:val="Hyperlink"/>
    <w:basedOn w:val="DefaultParagraphFont"/>
    <w:uiPriority w:val="99"/>
    <w:unhideWhenUsed/>
    <w:rsid w:val="00FD45F9"/>
    <w:rPr>
      <w:color w:val="0563C1"/>
      <w:u w:val="single"/>
    </w:rPr>
  </w:style>
  <w:style w:type="paragraph" w:styleId="Revision">
    <w:name w:val="Revision"/>
    <w:hidden/>
    <w:uiPriority w:val="99"/>
    <w:semiHidden/>
    <w:rsid w:val="008F4184"/>
    <w:pPr>
      <w:spacing w:after="0" w:line="240" w:lineRule="auto"/>
    </w:pPr>
    <w:rPr>
      <w:rFonts w:ascii="FreightSans Pro Book" w:hAnsi="FreightSans Pro Book"/>
      <w:color w:val="44546A" w:themeColor="text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4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184"/>
    <w:rPr>
      <w:rFonts w:ascii="FreightSans Pro Book" w:hAnsi="FreightSans Pro Book"/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84"/>
    <w:rPr>
      <w:rFonts w:ascii="FreightSans Pro Book" w:hAnsi="FreightSans Pro Book"/>
      <w:b/>
      <w:bCs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23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0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EF0582795F643AC0DB7777F2F9B62" ma:contentTypeVersion="15" ma:contentTypeDescription="Create a new document." ma:contentTypeScope="" ma:versionID="517831a914d04cea62f6334cce606e3c">
  <xsd:schema xmlns:xsd="http://www.w3.org/2001/XMLSchema" xmlns:xs="http://www.w3.org/2001/XMLSchema" xmlns:p="http://schemas.microsoft.com/office/2006/metadata/properties" xmlns:ns1="http://schemas.microsoft.com/sharepoint/v3" xmlns:ns3="e9b33ea5-292d-4fe3-b0ea-8793bf251dba" xmlns:ns4="6c1caa50-3108-4932-ba6f-dc788bc3a5f8" targetNamespace="http://schemas.microsoft.com/office/2006/metadata/properties" ma:root="true" ma:fieldsID="3c5077a03cc7f2dc899cb0b611c965b1" ns1:_="" ns3:_="" ns4:_="">
    <xsd:import namespace="http://schemas.microsoft.com/sharepoint/v3"/>
    <xsd:import namespace="e9b33ea5-292d-4fe3-b0ea-8793bf251dba"/>
    <xsd:import namespace="6c1caa50-3108-4932-ba6f-dc788bc3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33ea5-292d-4fe3-b0ea-8793bf251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caa50-3108-4932-ba6f-dc788bc3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39EA1-91B7-4AD1-BCC5-C17B280EB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5598C-7F58-4F7C-9827-3960C77C4952}">
  <ds:schemaRefs>
    <ds:schemaRef ds:uri="6c1caa50-3108-4932-ba6f-dc788bc3a5f8"/>
    <ds:schemaRef ds:uri="e9b33ea5-292d-4fe3-b0ea-8793bf251dba"/>
    <ds:schemaRef ds:uri="http://schemas.microsoft.com/office/infopath/2007/PartnerControl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C8D5ED-D7CE-4C5F-A2B5-DE83208B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33ea5-292d-4fe3-b0ea-8793bf251dba"/>
    <ds:schemaRef ds:uri="6c1caa50-3108-4932-ba6f-dc788bc3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Ainsworth</dc:creator>
  <cp:keywords/>
  <dc:description/>
  <cp:lastModifiedBy>Aisha Ainsworth</cp:lastModifiedBy>
  <cp:revision>3</cp:revision>
  <dcterms:created xsi:type="dcterms:W3CDTF">2021-08-17T02:31:00Z</dcterms:created>
  <dcterms:modified xsi:type="dcterms:W3CDTF">2021-08-17T02:31:00Z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0x0101007B4EF0582795F643AC0DB7777F2F9B62</vt:lpwstr>
  </property>
</Properties>
</file>